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CD" w:rsidRPr="00DD52CD" w:rsidRDefault="00F10E9D" w:rsidP="00D30F94">
      <w:pPr>
        <w:spacing w:after="0" w:line="288" w:lineRule="auto"/>
        <w:rPr>
          <w:rFonts w:cs="Arial"/>
          <w:b/>
          <w:color w:val="280071"/>
          <w:sz w:val="48"/>
          <w:szCs w:val="48"/>
        </w:rPr>
      </w:pPr>
      <w:bookmarkStart w:id="0" w:name="_GoBack"/>
      <w:bookmarkEnd w:id="0"/>
      <w:r>
        <w:rPr>
          <w:rFonts w:cs="Arial"/>
          <w:b/>
          <w:color w:val="280071"/>
          <w:sz w:val="48"/>
          <w:szCs w:val="48"/>
        </w:rPr>
        <w:t>UK Employer Skills Survey 2017</w:t>
      </w:r>
    </w:p>
    <w:p w:rsidR="00F10E9D" w:rsidRPr="005B3E73" w:rsidRDefault="00F10E9D" w:rsidP="00D30F94">
      <w:pPr>
        <w:spacing w:after="0" w:line="288" w:lineRule="auto"/>
        <w:rPr>
          <w:rFonts w:cs="Arial"/>
          <w:b/>
          <w:color w:val="280071"/>
          <w:sz w:val="36"/>
          <w:szCs w:val="28"/>
        </w:rPr>
      </w:pPr>
      <w:r w:rsidRPr="005B3E73">
        <w:rPr>
          <w:rFonts w:cs="Arial"/>
          <w:b/>
          <w:color w:val="280071"/>
          <w:sz w:val="36"/>
          <w:szCs w:val="28"/>
        </w:rPr>
        <w:t>A summary of key findings for the energy and utilities sector</w:t>
      </w:r>
    </w:p>
    <w:p w:rsidR="00DD52CD" w:rsidRDefault="00DD52CD" w:rsidP="00D30F94">
      <w:pPr>
        <w:spacing w:after="0" w:line="288" w:lineRule="auto"/>
        <w:rPr>
          <w:rFonts w:cs="Arial"/>
          <w:color w:val="280071"/>
        </w:rPr>
      </w:pPr>
    </w:p>
    <w:p w:rsidR="0059241B" w:rsidRPr="0059241B" w:rsidRDefault="00D30F94" w:rsidP="00D30F94">
      <w:pPr>
        <w:spacing w:after="0" w:line="288" w:lineRule="auto"/>
        <w:rPr>
          <w:rFonts w:cs="Arial"/>
          <w:color w:val="280071"/>
          <w:sz w:val="28"/>
          <w:szCs w:val="28"/>
        </w:rPr>
      </w:pPr>
      <w:r>
        <w:rPr>
          <w:rFonts w:cs="Arial"/>
          <w:color w:val="280071"/>
          <w:sz w:val="28"/>
          <w:szCs w:val="28"/>
        </w:rPr>
        <w:t>About the R</w:t>
      </w:r>
      <w:r w:rsidR="00F10E9D" w:rsidRPr="0059241B">
        <w:rPr>
          <w:rFonts w:cs="Arial"/>
          <w:color w:val="280071"/>
          <w:sz w:val="28"/>
          <w:szCs w:val="28"/>
        </w:rPr>
        <w:t>eport</w:t>
      </w:r>
    </w:p>
    <w:p w:rsidR="00D30F94" w:rsidRDefault="00D30F94" w:rsidP="00D30F94">
      <w:pPr>
        <w:pStyle w:val="BodyCopy"/>
      </w:pPr>
    </w:p>
    <w:p w:rsidR="00626AF5" w:rsidRDefault="00F10E9D" w:rsidP="00D30F94">
      <w:pPr>
        <w:pStyle w:val="BodyCopy"/>
      </w:pPr>
      <w:r w:rsidRPr="00D30F94">
        <w:t xml:space="preserve">The Department for Education (DfE) published the 2017 UK Employer Skills Survey (ESS) in August 2018, the fourth in the series of biennial reports. As one of the largest business surveys in the world, it is based on responses from Senior HR representatives from over 87,000 employers. </w:t>
      </w:r>
      <w:r w:rsidR="00626AF5" w:rsidRPr="00D30F94">
        <w:t>A number of EU-related questions were introduced to ESS 2017.</w:t>
      </w:r>
    </w:p>
    <w:p w:rsidR="00D30F94" w:rsidRPr="00D30F94" w:rsidRDefault="00D30F94" w:rsidP="00D30F94">
      <w:pPr>
        <w:pStyle w:val="BodyCopy"/>
      </w:pPr>
    </w:p>
    <w:p w:rsidR="0059241B" w:rsidRPr="0059241B" w:rsidRDefault="0059241B" w:rsidP="00D30F94">
      <w:pPr>
        <w:spacing w:after="0" w:line="288" w:lineRule="auto"/>
        <w:rPr>
          <w:rFonts w:cs="Arial"/>
          <w:color w:val="280071"/>
          <w:sz w:val="28"/>
          <w:szCs w:val="28"/>
        </w:rPr>
      </w:pPr>
      <w:r>
        <w:rPr>
          <w:rFonts w:cs="Arial"/>
          <w:color w:val="280071"/>
          <w:sz w:val="28"/>
          <w:szCs w:val="28"/>
        </w:rPr>
        <w:t>UK Context</w:t>
      </w:r>
    </w:p>
    <w:p w:rsidR="00D30F94" w:rsidRDefault="00D30F94" w:rsidP="00D30F94">
      <w:pPr>
        <w:pStyle w:val="BodyCopy"/>
      </w:pPr>
    </w:p>
    <w:p w:rsidR="0059241B" w:rsidRPr="000B220A" w:rsidRDefault="0040182F" w:rsidP="005B3E73">
      <w:pPr>
        <w:pStyle w:val="BodyCopy"/>
      </w:pPr>
      <w:r w:rsidRPr="000B220A">
        <w:t>According to the latest results, t</w:t>
      </w:r>
      <w:r w:rsidR="0059241B" w:rsidRPr="000B220A">
        <w:t xml:space="preserve">he number of establishments </w:t>
      </w:r>
      <w:r w:rsidRPr="000B220A">
        <w:t xml:space="preserve">in the UK </w:t>
      </w:r>
      <w:r w:rsidR="0059241B" w:rsidRPr="000B220A">
        <w:t xml:space="preserve">with vacancies has been rising, growing 6% since 2011 to 20% in 2017. </w:t>
      </w:r>
      <w:r w:rsidRPr="000B220A">
        <w:t>In addition, t</w:t>
      </w:r>
      <w:r w:rsidR="0059241B" w:rsidRPr="000B220A">
        <w:t>he number of firms with hard-to-fill vacancies has doubled since 2011, at 8%, as has the number of skills-shortage vacancies at 6%. In total, the number of skills-shortage v</w:t>
      </w:r>
      <w:r w:rsidRPr="000B220A">
        <w:t>acancies in 2017 stands at 22%. Regarding training and development, a</w:t>
      </w:r>
      <w:r w:rsidR="0059241B" w:rsidRPr="000B220A">
        <w:t xml:space="preserve">pproximately two-thirds of </w:t>
      </w:r>
      <w:r w:rsidRPr="000B220A">
        <w:t xml:space="preserve">UK </w:t>
      </w:r>
      <w:r w:rsidR="0059241B" w:rsidRPr="000B220A">
        <w:t>employers have trained staff in the previous 12 months, a consistent trend since 2011, training approximately 62% of their workforce in 2017. This amounts to 114m training days, averaging 4 training days per employee, costing £1,500 per person and £44.2bn UK wide.</w:t>
      </w:r>
    </w:p>
    <w:p w:rsidR="000D705F" w:rsidRDefault="000D705F" w:rsidP="005B3E73">
      <w:pPr>
        <w:pStyle w:val="BodyCopy"/>
      </w:pPr>
    </w:p>
    <w:p w:rsidR="000D705F" w:rsidRDefault="0040182F" w:rsidP="00D30F94">
      <w:pPr>
        <w:spacing w:after="0" w:line="288" w:lineRule="auto"/>
        <w:rPr>
          <w:rFonts w:cs="Arial"/>
          <w:color w:val="280071"/>
          <w:sz w:val="28"/>
          <w:szCs w:val="28"/>
        </w:rPr>
      </w:pPr>
      <w:r>
        <w:rPr>
          <w:rFonts w:cs="Arial"/>
          <w:color w:val="280071"/>
          <w:sz w:val="28"/>
          <w:szCs w:val="28"/>
        </w:rPr>
        <w:t>Key Findings</w:t>
      </w:r>
      <w:r w:rsidR="000D705F">
        <w:rPr>
          <w:rFonts w:cs="Arial"/>
          <w:color w:val="280071"/>
          <w:sz w:val="28"/>
          <w:szCs w:val="28"/>
        </w:rPr>
        <w:t xml:space="preserve"> for Primary Sector &amp; Utilities</w:t>
      </w:r>
      <w:r w:rsidR="000D705F">
        <w:rPr>
          <w:rStyle w:val="EndnoteReference"/>
          <w:rFonts w:cs="Arial"/>
          <w:color w:val="280071"/>
          <w:sz w:val="28"/>
          <w:szCs w:val="28"/>
        </w:rPr>
        <w:endnoteReference w:id="1"/>
      </w:r>
    </w:p>
    <w:p w:rsidR="00691D7A" w:rsidRDefault="00691D7A" w:rsidP="005B3E73">
      <w:pPr>
        <w:pStyle w:val="Heading4"/>
      </w:pPr>
    </w:p>
    <w:p w:rsidR="00691D7A" w:rsidRPr="005B3E73" w:rsidRDefault="00691D7A" w:rsidP="005B3E73">
      <w:pPr>
        <w:pStyle w:val="Heading4"/>
        <w:rPr>
          <w:szCs w:val="28"/>
        </w:rPr>
      </w:pPr>
      <w:r w:rsidRPr="005B3E73">
        <w:rPr>
          <w:szCs w:val="28"/>
        </w:rPr>
        <w:t xml:space="preserve">About Primary Sector &amp; Utilities </w:t>
      </w:r>
    </w:p>
    <w:p w:rsidR="00D30F94" w:rsidRDefault="00D30F94" w:rsidP="00D30F94">
      <w:pPr>
        <w:spacing w:after="0" w:line="288" w:lineRule="auto"/>
        <w:rPr>
          <w:szCs w:val="20"/>
        </w:rPr>
      </w:pPr>
    </w:p>
    <w:p w:rsidR="00691D7A" w:rsidRPr="00D30F94" w:rsidRDefault="00691D7A" w:rsidP="00D30F94">
      <w:pPr>
        <w:spacing w:after="0" w:line="288" w:lineRule="auto"/>
        <w:rPr>
          <w:b/>
          <w:sz w:val="24"/>
        </w:rPr>
      </w:pPr>
      <w:r w:rsidRPr="005B3E73">
        <w:rPr>
          <w:szCs w:val="20"/>
        </w:rPr>
        <w:t>The Primary Sector &amp; Utilities continues to be a relatively small sector both in terms of numbers of establishments and employment, counting for 6% of all establishments and 3% of all employment.</w:t>
      </w:r>
      <w:r w:rsidRPr="00D30F94">
        <w:rPr>
          <w:szCs w:val="20"/>
        </w:rPr>
        <w:t xml:space="preserve"> </w:t>
      </w:r>
      <w:r w:rsidRPr="005B3E73">
        <w:rPr>
          <w:szCs w:val="20"/>
        </w:rPr>
        <w:t>16% of establishments in the Primary Sector &amp; Utilities are selling to or serving the EU and 4% of establishments see the EU as their primary market. Thus the majority, 80%, of primary and utilities employers were most likely to serve a UK-only market. In the Primary</w:t>
      </w:r>
      <w:r w:rsidR="00977E37">
        <w:rPr>
          <w:szCs w:val="20"/>
        </w:rPr>
        <w:t xml:space="preserve"> Sector</w:t>
      </w:r>
      <w:r w:rsidRPr="005B3E73">
        <w:rPr>
          <w:szCs w:val="20"/>
        </w:rPr>
        <w:t xml:space="preserve"> &amp; Utilities only 9% of establishments employed at least one EU national</w:t>
      </w:r>
      <w:r w:rsidRPr="00D30F94">
        <w:rPr>
          <w:b/>
          <w:szCs w:val="20"/>
        </w:rPr>
        <w:t xml:space="preserve">. </w:t>
      </w:r>
    </w:p>
    <w:p w:rsidR="000B220A" w:rsidRPr="00D30F94" w:rsidRDefault="000B220A" w:rsidP="00D30F94">
      <w:pPr>
        <w:spacing w:after="0" w:line="288" w:lineRule="auto"/>
        <w:rPr>
          <w:rFonts w:cs="Arial"/>
          <w:color w:val="280071"/>
          <w:szCs w:val="28"/>
        </w:rPr>
      </w:pPr>
    </w:p>
    <w:tbl>
      <w:tblPr>
        <w:tblStyle w:val="GridTable4-Accent4"/>
        <w:tblW w:w="9048" w:type="dxa"/>
        <w:tblLook w:val="04A0" w:firstRow="1" w:lastRow="0" w:firstColumn="1" w:lastColumn="0" w:noHBand="0" w:noVBand="1"/>
      </w:tblPr>
      <w:tblGrid>
        <w:gridCol w:w="4602"/>
        <w:gridCol w:w="4446"/>
      </w:tblGrid>
      <w:tr w:rsidR="0040182F" w:rsidTr="002F27D9">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602" w:type="dxa"/>
          </w:tcPr>
          <w:p w:rsidR="0040182F" w:rsidRDefault="0040182F" w:rsidP="00D30F94">
            <w:pPr>
              <w:spacing w:after="0" w:line="288" w:lineRule="auto"/>
            </w:pPr>
            <w:r>
              <w:rPr>
                <w:sz w:val="20"/>
              </w:rPr>
              <w:t>Vacancies &amp; skill-shortage vacancies (SSVs)</w:t>
            </w:r>
          </w:p>
        </w:tc>
        <w:tc>
          <w:tcPr>
            <w:tcW w:w="4446" w:type="dxa"/>
          </w:tcPr>
          <w:p w:rsidR="0040182F" w:rsidRPr="00F011AB" w:rsidRDefault="0040182F" w:rsidP="00D30F94">
            <w:pPr>
              <w:spacing w:after="0" w:line="288" w:lineRule="auto"/>
              <w:cnfStyle w:val="100000000000" w:firstRow="1" w:lastRow="0" w:firstColumn="0" w:lastColumn="0" w:oddVBand="0" w:evenVBand="0" w:oddHBand="0" w:evenHBand="0" w:firstRowFirstColumn="0" w:firstRowLastColumn="0" w:lastRowFirstColumn="0" w:lastRowLastColumn="0"/>
              <w:rPr>
                <w:b w:val="0"/>
              </w:rPr>
            </w:pPr>
            <w:r w:rsidRPr="00F011AB">
              <w:t xml:space="preserve">2017 </w:t>
            </w:r>
          </w:p>
        </w:tc>
      </w:tr>
      <w:tr w:rsidR="0040182F" w:rsidTr="002F27D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602" w:type="dxa"/>
          </w:tcPr>
          <w:p w:rsidR="0040182F" w:rsidRDefault="0040182F" w:rsidP="00D30F94">
            <w:pPr>
              <w:spacing w:after="0" w:line="288" w:lineRule="auto"/>
              <w:ind w:left="20"/>
            </w:pPr>
            <w:r>
              <w:rPr>
                <w:sz w:val="20"/>
              </w:rPr>
              <w:t xml:space="preserve">% of establishments with any vacancies </w:t>
            </w:r>
          </w:p>
        </w:tc>
        <w:tc>
          <w:tcPr>
            <w:tcW w:w="4446" w:type="dxa"/>
          </w:tcPr>
          <w:p w:rsidR="0040182F" w:rsidRDefault="0040182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8% </w:t>
            </w:r>
          </w:p>
        </w:tc>
      </w:tr>
      <w:tr w:rsidR="0040182F" w:rsidTr="002F27D9">
        <w:trPr>
          <w:trHeight w:val="367"/>
        </w:trPr>
        <w:tc>
          <w:tcPr>
            <w:cnfStyle w:val="001000000000" w:firstRow="0" w:lastRow="0" w:firstColumn="1" w:lastColumn="0" w:oddVBand="0" w:evenVBand="0" w:oddHBand="0" w:evenHBand="0" w:firstRowFirstColumn="0" w:firstRowLastColumn="0" w:lastRowFirstColumn="0" w:lastRowLastColumn="0"/>
            <w:tcW w:w="4602" w:type="dxa"/>
          </w:tcPr>
          <w:p w:rsidR="0040182F" w:rsidRDefault="0040182F" w:rsidP="00D30F94">
            <w:pPr>
              <w:spacing w:after="0" w:line="288" w:lineRule="auto"/>
              <w:ind w:left="20"/>
            </w:pPr>
            <w:r>
              <w:rPr>
                <w:sz w:val="20"/>
              </w:rPr>
              <w:lastRenderedPageBreak/>
              <w:t xml:space="preserve">% of establishments with any hard-to-fill vacancies </w:t>
            </w:r>
          </w:p>
        </w:tc>
        <w:tc>
          <w:tcPr>
            <w:tcW w:w="4446" w:type="dxa"/>
          </w:tcPr>
          <w:p w:rsidR="0040182F" w:rsidRDefault="0040182F" w:rsidP="00D30F94">
            <w:pPr>
              <w:spacing w:after="0" w:line="288" w:lineRule="auto"/>
              <w:ind w:left="20"/>
              <w:cnfStyle w:val="000000000000" w:firstRow="0" w:lastRow="0" w:firstColumn="0" w:lastColumn="0" w:oddVBand="0" w:evenVBand="0" w:oddHBand="0" w:evenHBand="0" w:firstRowFirstColumn="0" w:firstRowLastColumn="0" w:lastRowFirstColumn="0" w:lastRowLastColumn="0"/>
              <w:rPr>
                <w:sz w:val="20"/>
              </w:rPr>
            </w:pPr>
            <w:r w:rsidRPr="00F575A0">
              <w:rPr>
                <w:sz w:val="20"/>
              </w:rPr>
              <w:t>2%</w:t>
            </w:r>
            <w:r>
              <w:rPr>
                <w:sz w:val="20"/>
              </w:rPr>
              <w:t xml:space="preserve"> </w:t>
            </w:r>
          </w:p>
        </w:tc>
      </w:tr>
      <w:tr w:rsidR="0040182F" w:rsidTr="002F27D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02" w:type="dxa"/>
          </w:tcPr>
          <w:p w:rsidR="0040182F" w:rsidRDefault="0040182F" w:rsidP="00D30F94">
            <w:pPr>
              <w:spacing w:after="0" w:line="288" w:lineRule="auto"/>
              <w:ind w:left="20"/>
            </w:pPr>
            <w:r>
              <w:rPr>
                <w:sz w:val="20"/>
              </w:rPr>
              <w:t xml:space="preserve">% of establishments with SSVs </w:t>
            </w:r>
          </w:p>
        </w:tc>
        <w:tc>
          <w:tcPr>
            <w:tcW w:w="4446" w:type="dxa"/>
          </w:tcPr>
          <w:p w:rsidR="0040182F" w:rsidRDefault="0040182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3% </w:t>
            </w:r>
          </w:p>
        </w:tc>
      </w:tr>
      <w:tr w:rsidR="0040182F" w:rsidTr="002F27D9">
        <w:trPr>
          <w:trHeight w:val="368"/>
        </w:trPr>
        <w:tc>
          <w:tcPr>
            <w:cnfStyle w:val="001000000000" w:firstRow="0" w:lastRow="0" w:firstColumn="1" w:lastColumn="0" w:oddVBand="0" w:evenVBand="0" w:oddHBand="0" w:evenHBand="0" w:firstRowFirstColumn="0" w:firstRowLastColumn="0" w:lastRowFirstColumn="0" w:lastRowLastColumn="0"/>
            <w:tcW w:w="4602" w:type="dxa"/>
          </w:tcPr>
          <w:p w:rsidR="0040182F" w:rsidRDefault="0040182F" w:rsidP="00D30F94">
            <w:pPr>
              <w:spacing w:after="0" w:line="288" w:lineRule="auto"/>
              <w:ind w:left="20"/>
            </w:pPr>
            <w:r>
              <w:rPr>
                <w:sz w:val="20"/>
              </w:rPr>
              <w:t xml:space="preserve">% of all vacancies that are SSVs </w:t>
            </w:r>
          </w:p>
        </w:tc>
        <w:tc>
          <w:tcPr>
            <w:tcW w:w="4446" w:type="dxa"/>
          </w:tcPr>
          <w:p w:rsidR="0040182F" w:rsidRDefault="0040182F" w:rsidP="00D30F94">
            <w:pPr>
              <w:spacing w:after="0" w:line="288" w:lineRule="auto"/>
              <w:ind w:left="20"/>
              <w:cnfStyle w:val="000000000000" w:firstRow="0" w:lastRow="0" w:firstColumn="0" w:lastColumn="0" w:oddVBand="0" w:evenVBand="0" w:oddHBand="0" w:evenHBand="0" w:firstRowFirstColumn="0" w:firstRowLastColumn="0" w:lastRowFirstColumn="0" w:lastRowLastColumn="0"/>
              <w:rPr>
                <w:sz w:val="20"/>
              </w:rPr>
            </w:pPr>
            <w:r>
              <w:rPr>
                <w:sz w:val="20"/>
              </w:rPr>
              <w:t xml:space="preserve">33% </w:t>
            </w:r>
          </w:p>
        </w:tc>
      </w:tr>
      <w:tr w:rsidR="0040182F" w:rsidTr="002F27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02" w:type="dxa"/>
          </w:tcPr>
          <w:p w:rsidR="0040182F" w:rsidRDefault="0040182F" w:rsidP="00D30F94">
            <w:pPr>
              <w:spacing w:after="0" w:line="288" w:lineRule="auto"/>
              <w:ind w:left="20"/>
            </w:pPr>
            <w:r>
              <w:rPr>
                <w:sz w:val="20"/>
              </w:rPr>
              <w:t xml:space="preserve">Number of vacancies </w:t>
            </w:r>
          </w:p>
        </w:tc>
        <w:tc>
          <w:tcPr>
            <w:tcW w:w="4446" w:type="dxa"/>
          </w:tcPr>
          <w:p w:rsidR="0040182F" w:rsidRDefault="0040182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18,000</w:t>
            </w:r>
          </w:p>
        </w:tc>
      </w:tr>
      <w:tr w:rsidR="0040182F" w:rsidTr="002F27D9">
        <w:trPr>
          <w:trHeight w:val="370"/>
        </w:trPr>
        <w:tc>
          <w:tcPr>
            <w:cnfStyle w:val="001000000000" w:firstRow="0" w:lastRow="0" w:firstColumn="1" w:lastColumn="0" w:oddVBand="0" w:evenVBand="0" w:oddHBand="0" w:evenHBand="0" w:firstRowFirstColumn="0" w:firstRowLastColumn="0" w:lastRowFirstColumn="0" w:lastRowLastColumn="0"/>
            <w:tcW w:w="4602" w:type="dxa"/>
          </w:tcPr>
          <w:p w:rsidR="0040182F" w:rsidRDefault="0040182F" w:rsidP="00D30F94">
            <w:pPr>
              <w:spacing w:after="0" w:line="288" w:lineRule="auto"/>
              <w:ind w:left="20"/>
            </w:pPr>
            <w:r>
              <w:rPr>
                <w:sz w:val="20"/>
              </w:rPr>
              <w:t xml:space="preserve">Number of skill-shortage vacancies </w:t>
            </w:r>
          </w:p>
        </w:tc>
        <w:tc>
          <w:tcPr>
            <w:tcW w:w="4446" w:type="dxa"/>
          </w:tcPr>
          <w:p w:rsidR="0040182F" w:rsidRDefault="0040182F" w:rsidP="00D30F94">
            <w:pPr>
              <w:spacing w:after="0" w:line="288" w:lineRule="auto"/>
              <w:ind w:left="20"/>
              <w:cnfStyle w:val="000000000000" w:firstRow="0" w:lastRow="0" w:firstColumn="0" w:lastColumn="0" w:oddVBand="0" w:evenVBand="0" w:oddHBand="0" w:evenHBand="0" w:firstRowFirstColumn="0" w:firstRowLastColumn="0" w:lastRowFirstColumn="0" w:lastRowLastColumn="0"/>
              <w:rPr>
                <w:sz w:val="20"/>
              </w:rPr>
            </w:pPr>
            <w:r>
              <w:rPr>
                <w:sz w:val="20"/>
              </w:rPr>
              <w:t xml:space="preserve">6,000  </w:t>
            </w:r>
          </w:p>
        </w:tc>
      </w:tr>
    </w:tbl>
    <w:p w:rsidR="00603A27" w:rsidRDefault="00603A27" w:rsidP="005B3E73">
      <w:pPr>
        <w:pStyle w:val="BodyCopy"/>
      </w:pPr>
    </w:p>
    <w:tbl>
      <w:tblPr>
        <w:tblStyle w:val="GridTable4-Accent4"/>
        <w:tblW w:w="9048" w:type="dxa"/>
        <w:tblLook w:val="04A0" w:firstRow="1" w:lastRow="0" w:firstColumn="1" w:lastColumn="0" w:noHBand="0" w:noVBand="1"/>
      </w:tblPr>
      <w:tblGrid>
        <w:gridCol w:w="4602"/>
        <w:gridCol w:w="4446"/>
      </w:tblGrid>
      <w:tr w:rsidR="000D705F" w:rsidTr="002F27D9">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pPr>
            <w:r>
              <w:rPr>
                <w:sz w:val="20"/>
              </w:rPr>
              <w:t xml:space="preserve">Skills gaps </w:t>
            </w:r>
          </w:p>
        </w:tc>
        <w:tc>
          <w:tcPr>
            <w:tcW w:w="4446" w:type="dxa"/>
          </w:tcPr>
          <w:p w:rsidR="000D705F" w:rsidRPr="002F27D9" w:rsidRDefault="000D705F" w:rsidP="00D30F94">
            <w:pPr>
              <w:spacing w:after="0" w:line="288" w:lineRule="auto"/>
              <w:ind w:left="20"/>
              <w:cnfStyle w:val="100000000000" w:firstRow="1" w:lastRow="0" w:firstColumn="0" w:lastColumn="0" w:oddVBand="0" w:evenVBand="0" w:oddHBand="0" w:evenHBand="0" w:firstRowFirstColumn="0" w:firstRowLastColumn="0" w:lastRowFirstColumn="0" w:lastRowLastColumn="0"/>
              <w:rPr>
                <w:sz w:val="20"/>
              </w:rPr>
            </w:pPr>
            <w:r w:rsidRPr="002F27D9">
              <w:rPr>
                <w:sz w:val="20"/>
              </w:rPr>
              <w:t xml:space="preserve">2017 </w:t>
            </w:r>
          </w:p>
        </w:tc>
      </w:tr>
      <w:tr w:rsidR="000D705F" w:rsidTr="002F27D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 of establishments with any staff not fully proficient </w:t>
            </w:r>
          </w:p>
        </w:tc>
        <w:tc>
          <w:tcPr>
            <w:tcW w:w="4446" w:type="dxa"/>
          </w:tcPr>
          <w:p w:rsidR="000D705F" w:rsidRDefault="000D705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9%  </w:t>
            </w:r>
          </w:p>
        </w:tc>
      </w:tr>
      <w:tr w:rsidR="000D705F" w:rsidTr="002F27D9">
        <w:trPr>
          <w:trHeight w:val="368"/>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Number of skills gaps </w:t>
            </w:r>
          </w:p>
        </w:tc>
        <w:tc>
          <w:tcPr>
            <w:tcW w:w="4446" w:type="dxa"/>
          </w:tcPr>
          <w:p w:rsidR="000D705F" w:rsidRDefault="000D705F" w:rsidP="00D30F94">
            <w:pPr>
              <w:spacing w:after="0" w:line="288" w:lineRule="auto"/>
              <w:ind w:left="20"/>
              <w:cnfStyle w:val="000000000000" w:firstRow="0" w:lastRow="0" w:firstColumn="0" w:lastColumn="0" w:oddVBand="0" w:evenVBand="0" w:oddHBand="0" w:evenHBand="0" w:firstRowFirstColumn="0" w:firstRowLastColumn="0" w:lastRowFirstColumn="0" w:lastRowLastColumn="0"/>
              <w:rPr>
                <w:sz w:val="20"/>
              </w:rPr>
            </w:pPr>
            <w:r>
              <w:rPr>
                <w:sz w:val="20"/>
              </w:rPr>
              <w:t xml:space="preserve">36,325 </w:t>
            </w:r>
          </w:p>
        </w:tc>
      </w:tr>
      <w:tr w:rsidR="000D705F" w:rsidTr="002F27D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Number of staff not fully proficient as a % of employment </w:t>
            </w:r>
          </w:p>
        </w:tc>
        <w:tc>
          <w:tcPr>
            <w:tcW w:w="4446" w:type="dxa"/>
          </w:tcPr>
          <w:p w:rsidR="000D705F" w:rsidRDefault="000D705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4.7% </w:t>
            </w:r>
          </w:p>
        </w:tc>
      </w:tr>
    </w:tbl>
    <w:p w:rsidR="000D705F" w:rsidRDefault="000D705F" w:rsidP="005B3E73">
      <w:pPr>
        <w:pStyle w:val="BodyCopy"/>
      </w:pPr>
    </w:p>
    <w:tbl>
      <w:tblPr>
        <w:tblStyle w:val="GridTable4-Accent4"/>
        <w:tblW w:w="9048" w:type="dxa"/>
        <w:tblLook w:val="04A0" w:firstRow="1" w:lastRow="0" w:firstColumn="1" w:lastColumn="0" w:noHBand="0" w:noVBand="1"/>
      </w:tblPr>
      <w:tblGrid>
        <w:gridCol w:w="4602"/>
        <w:gridCol w:w="4446"/>
      </w:tblGrid>
      <w:tr w:rsidR="000D705F" w:rsidTr="002F27D9">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pPr>
            <w:r>
              <w:rPr>
                <w:sz w:val="20"/>
              </w:rPr>
              <w:t xml:space="preserve">Training </w:t>
            </w:r>
          </w:p>
        </w:tc>
        <w:tc>
          <w:tcPr>
            <w:tcW w:w="4446" w:type="dxa"/>
          </w:tcPr>
          <w:p w:rsidR="000D705F" w:rsidRPr="002F27D9" w:rsidRDefault="000D705F" w:rsidP="00D30F94">
            <w:pPr>
              <w:spacing w:after="0" w:line="288" w:lineRule="auto"/>
              <w:ind w:left="20"/>
              <w:cnfStyle w:val="100000000000" w:firstRow="1" w:lastRow="0" w:firstColumn="0" w:lastColumn="0" w:oddVBand="0" w:evenVBand="0" w:oddHBand="0" w:evenHBand="0" w:firstRowFirstColumn="0" w:firstRowLastColumn="0" w:lastRowFirstColumn="0" w:lastRowLastColumn="0"/>
              <w:rPr>
                <w:sz w:val="20"/>
              </w:rPr>
            </w:pPr>
            <w:r w:rsidRPr="002F27D9">
              <w:rPr>
                <w:sz w:val="20"/>
              </w:rPr>
              <w:t>2017</w:t>
            </w:r>
          </w:p>
        </w:tc>
      </w:tr>
      <w:tr w:rsidR="000D705F" w:rsidTr="002F27D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 of establishments training staff over the last 12 months </w:t>
            </w:r>
          </w:p>
        </w:tc>
        <w:tc>
          <w:tcPr>
            <w:tcW w:w="4446" w:type="dxa"/>
          </w:tcPr>
          <w:p w:rsidR="000D705F" w:rsidRDefault="000D705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53% </w:t>
            </w:r>
          </w:p>
          <w:p w:rsidR="000D705F" w:rsidRDefault="000D705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p>
        </w:tc>
      </w:tr>
      <w:tr w:rsidR="000D705F" w:rsidTr="002F27D9">
        <w:trPr>
          <w:trHeight w:val="520"/>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 of establishments providing off-the-job training in the last 12 months </w:t>
            </w:r>
          </w:p>
        </w:tc>
        <w:tc>
          <w:tcPr>
            <w:tcW w:w="4446" w:type="dxa"/>
          </w:tcPr>
          <w:p w:rsidR="000D705F" w:rsidRDefault="000D705F" w:rsidP="00D30F94">
            <w:pPr>
              <w:spacing w:after="0" w:line="288" w:lineRule="auto"/>
              <w:ind w:left="20"/>
              <w:cnfStyle w:val="000000000000" w:firstRow="0" w:lastRow="0" w:firstColumn="0" w:lastColumn="0" w:oddVBand="0" w:evenVBand="0" w:oddHBand="0" w:evenHBand="0" w:firstRowFirstColumn="0" w:firstRowLastColumn="0" w:lastRowFirstColumn="0" w:lastRowLastColumn="0"/>
              <w:rPr>
                <w:sz w:val="20"/>
              </w:rPr>
            </w:pPr>
            <w:r>
              <w:rPr>
                <w:sz w:val="20"/>
              </w:rPr>
              <w:t xml:space="preserve">42% </w:t>
            </w:r>
          </w:p>
        </w:tc>
      </w:tr>
      <w:tr w:rsidR="000D705F" w:rsidTr="002F27D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 of workforce trained </w:t>
            </w:r>
          </w:p>
        </w:tc>
        <w:tc>
          <w:tcPr>
            <w:tcW w:w="4446" w:type="dxa"/>
          </w:tcPr>
          <w:p w:rsidR="000D705F" w:rsidRDefault="000D705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52% </w:t>
            </w:r>
          </w:p>
        </w:tc>
      </w:tr>
      <w:tr w:rsidR="000D705F" w:rsidTr="002F27D9">
        <w:trPr>
          <w:trHeight w:val="367"/>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Total days training </w:t>
            </w:r>
          </w:p>
        </w:tc>
        <w:tc>
          <w:tcPr>
            <w:tcW w:w="4446" w:type="dxa"/>
          </w:tcPr>
          <w:p w:rsidR="000D705F" w:rsidRDefault="000D705F" w:rsidP="00D30F94">
            <w:pPr>
              <w:spacing w:after="0" w:line="288" w:lineRule="auto"/>
              <w:ind w:left="20"/>
              <w:cnfStyle w:val="000000000000" w:firstRow="0" w:lastRow="0" w:firstColumn="0" w:lastColumn="0" w:oddVBand="0" w:evenVBand="0" w:oddHBand="0" w:evenHBand="0" w:firstRowFirstColumn="0" w:firstRowLastColumn="0" w:lastRowFirstColumn="0" w:lastRowLastColumn="0"/>
              <w:rPr>
                <w:sz w:val="20"/>
              </w:rPr>
            </w:pPr>
            <w:r>
              <w:rPr>
                <w:sz w:val="20"/>
              </w:rPr>
              <w:t xml:space="preserve">1.8m </w:t>
            </w:r>
          </w:p>
        </w:tc>
      </w:tr>
      <w:tr w:rsidR="000D705F" w:rsidTr="002F27D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 xml:space="preserve">Training days per employee </w:t>
            </w:r>
          </w:p>
        </w:tc>
        <w:tc>
          <w:tcPr>
            <w:tcW w:w="4446" w:type="dxa"/>
          </w:tcPr>
          <w:p w:rsidR="000D705F" w:rsidRDefault="000D705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2.4 </w:t>
            </w:r>
          </w:p>
        </w:tc>
      </w:tr>
      <w:tr w:rsidR="000D705F" w:rsidTr="002F27D9">
        <w:trPr>
          <w:trHeight w:val="368"/>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Total training expenditure</w:t>
            </w:r>
            <w:r>
              <w:rPr>
                <w:sz w:val="20"/>
                <w:vertAlign w:val="superscript"/>
              </w:rPr>
              <w:t>†</w:t>
            </w:r>
            <w:r>
              <w:rPr>
                <w:sz w:val="20"/>
              </w:rPr>
              <w:t xml:space="preserve"> </w:t>
            </w:r>
          </w:p>
        </w:tc>
        <w:tc>
          <w:tcPr>
            <w:tcW w:w="4446" w:type="dxa"/>
          </w:tcPr>
          <w:p w:rsidR="000D705F" w:rsidRDefault="000D705F" w:rsidP="00D30F94">
            <w:pPr>
              <w:spacing w:after="0" w:line="288" w:lineRule="auto"/>
              <w:ind w:left="20"/>
              <w:cnfStyle w:val="000000000000" w:firstRow="0" w:lastRow="0" w:firstColumn="0" w:lastColumn="0" w:oddVBand="0" w:evenVBand="0" w:oddHBand="0" w:evenHBand="0" w:firstRowFirstColumn="0" w:firstRowLastColumn="0" w:lastRowFirstColumn="0" w:lastRowLastColumn="0"/>
              <w:rPr>
                <w:sz w:val="20"/>
              </w:rPr>
            </w:pPr>
            <w:r>
              <w:rPr>
                <w:sz w:val="20"/>
              </w:rPr>
              <w:t xml:space="preserve">1.1bn </w:t>
            </w:r>
          </w:p>
        </w:tc>
      </w:tr>
      <w:tr w:rsidR="000D705F" w:rsidTr="002F27D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02" w:type="dxa"/>
          </w:tcPr>
          <w:p w:rsidR="000D705F" w:rsidRDefault="000D705F" w:rsidP="00D30F94">
            <w:pPr>
              <w:spacing w:after="0" w:line="288" w:lineRule="auto"/>
              <w:ind w:left="20"/>
            </w:pPr>
            <w:r>
              <w:rPr>
                <w:sz w:val="20"/>
              </w:rPr>
              <w:t>Training expenditure per employee</w:t>
            </w:r>
            <w:r>
              <w:rPr>
                <w:sz w:val="20"/>
                <w:vertAlign w:val="superscript"/>
              </w:rPr>
              <w:t>†</w:t>
            </w:r>
            <w:r>
              <w:rPr>
                <w:sz w:val="20"/>
              </w:rPr>
              <w:t xml:space="preserve"> </w:t>
            </w:r>
          </w:p>
        </w:tc>
        <w:tc>
          <w:tcPr>
            <w:tcW w:w="4446" w:type="dxa"/>
          </w:tcPr>
          <w:p w:rsidR="000D705F" w:rsidRDefault="000D705F" w:rsidP="00D30F94">
            <w:pPr>
              <w:spacing w:after="0" w:line="288" w:lineRule="auto"/>
              <w:ind w:left="20"/>
              <w:cnfStyle w:val="000000100000" w:firstRow="0" w:lastRow="0" w:firstColumn="0" w:lastColumn="0" w:oddVBand="0" w:evenVBand="0" w:oddHBand="1" w:evenHBand="0" w:firstRowFirstColumn="0" w:firstRowLastColumn="0" w:lastRowFirstColumn="0" w:lastRowLastColumn="0"/>
              <w:rPr>
                <w:sz w:val="20"/>
              </w:rPr>
            </w:pPr>
            <w:r>
              <w:rPr>
                <w:sz w:val="20"/>
              </w:rPr>
              <w:t xml:space="preserve">£1,380 </w:t>
            </w:r>
          </w:p>
        </w:tc>
      </w:tr>
    </w:tbl>
    <w:p w:rsidR="000D705F" w:rsidRDefault="000D705F" w:rsidP="005B3E73">
      <w:pPr>
        <w:pStyle w:val="BodyCopy"/>
      </w:pPr>
    </w:p>
    <w:p w:rsidR="00691977" w:rsidRPr="00977E37" w:rsidRDefault="00691977" w:rsidP="00D30F94">
      <w:pPr>
        <w:spacing w:after="0" w:line="288" w:lineRule="auto"/>
        <w:rPr>
          <w:rFonts w:cs="Arial"/>
          <w:color w:val="280071"/>
          <w:sz w:val="24"/>
          <w:szCs w:val="28"/>
        </w:rPr>
      </w:pPr>
      <w:r w:rsidRPr="00977E37">
        <w:rPr>
          <w:rFonts w:cs="Arial"/>
          <w:color w:val="280071"/>
          <w:sz w:val="24"/>
          <w:szCs w:val="28"/>
        </w:rPr>
        <w:t>Recruitment &amp; Skills-Shortage Vacancies</w:t>
      </w:r>
    </w:p>
    <w:p w:rsidR="00D30F94" w:rsidRDefault="00D30F94" w:rsidP="00D30F94">
      <w:pPr>
        <w:pStyle w:val="BodyCopy"/>
      </w:pPr>
    </w:p>
    <w:p w:rsidR="000D705F" w:rsidRPr="000B220A" w:rsidRDefault="00691977" w:rsidP="005B3E73">
      <w:pPr>
        <w:pStyle w:val="BodyCopy"/>
        <w:rPr>
          <w:b/>
        </w:rPr>
      </w:pPr>
      <w:r w:rsidRPr="000B220A">
        <w:t xml:space="preserve">One in five UK employers (20%) had at least one vacancy in summer 2017, totalling one million vacancies reported, a 9% increase since 2015. </w:t>
      </w:r>
      <w:r w:rsidR="007D41C5" w:rsidRPr="000B220A">
        <w:t xml:space="preserve">22% of these were skills-shortages vacancies (SSVs), vacancies that employers find hard-to-fill due to applicants lacking relevant skills, qualifications or experience. </w:t>
      </w:r>
      <w:r w:rsidR="007D41C5" w:rsidRPr="000B220A">
        <w:rPr>
          <w:b/>
        </w:rPr>
        <w:t>The density of SSVs for the Primary Sector &amp; Utilities has increased from 26% in 2015 to 33% in 2017.</w:t>
      </w:r>
    </w:p>
    <w:p w:rsidR="0048537A" w:rsidRDefault="0048537A" w:rsidP="005B3E73">
      <w:pPr>
        <w:pStyle w:val="BodyCopy"/>
      </w:pPr>
    </w:p>
    <w:p w:rsidR="0048537A" w:rsidRDefault="0048537A" w:rsidP="005B3E73">
      <w:pPr>
        <w:pStyle w:val="BodyCopy"/>
      </w:pPr>
      <w:r>
        <w:t xml:space="preserve">Skilled trade roles continue to have the highest density of SSVs, with skills shortages accounting for every two in five vacancies. </w:t>
      </w:r>
      <w:r>
        <w:rPr>
          <w:b/>
        </w:rPr>
        <w:t xml:space="preserve">SSVs have been persistently high for Machine Operatives, heavily impacting our sector (47%) over Construction (34%) and Transport &amp; Storage (38%). </w:t>
      </w:r>
      <w:r>
        <w:t>There is also consistent demand in the sector for professional occupations, sitting at</w:t>
      </w:r>
      <w:r w:rsidR="00977E37">
        <w:t xml:space="preserve"> 36% for the Primary Sector &amp; Utilities</w:t>
      </w:r>
      <w:r>
        <w:t>.</w:t>
      </w:r>
    </w:p>
    <w:p w:rsidR="0048537A" w:rsidRPr="0048537A" w:rsidRDefault="0048537A" w:rsidP="005B3E73">
      <w:pPr>
        <w:pStyle w:val="BodyCopy"/>
      </w:pPr>
    </w:p>
    <w:p w:rsidR="0094000B" w:rsidRPr="00977E37" w:rsidRDefault="0094000B" w:rsidP="00D30F94">
      <w:pPr>
        <w:spacing w:after="0" w:line="288" w:lineRule="auto"/>
        <w:rPr>
          <w:rFonts w:cs="Arial"/>
          <w:color w:val="280071"/>
          <w:sz w:val="24"/>
          <w:szCs w:val="28"/>
        </w:rPr>
      </w:pPr>
      <w:r w:rsidRPr="00977E37">
        <w:rPr>
          <w:rFonts w:cs="Arial"/>
          <w:color w:val="280071"/>
          <w:sz w:val="24"/>
          <w:szCs w:val="28"/>
        </w:rPr>
        <w:t>S</w:t>
      </w:r>
      <w:r w:rsidR="003E00B4" w:rsidRPr="00977E37">
        <w:rPr>
          <w:rFonts w:cs="Arial"/>
          <w:color w:val="280071"/>
          <w:sz w:val="24"/>
          <w:szCs w:val="28"/>
        </w:rPr>
        <w:t>kills Lacking in the Available M</w:t>
      </w:r>
      <w:r w:rsidRPr="00977E37">
        <w:rPr>
          <w:rFonts w:cs="Arial"/>
          <w:color w:val="280071"/>
          <w:sz w:val="24"/>
          <w:szCs w:val="28"/>
        </w:rPr>
        <w:t>arket</w:t>
      </w:r>
    </w:p>
    <w:p w:rsidR="00D30F94" w:rsidRDefault="00D30F94" w:rsidP="00D30F94">
      <w:pPr>
        <w:spacing w:after="0" w:line="288" w:lineRule="auto"/>
        <w:rPr>
          <w:szCs w:val="20"/>
        </w:rPr>
      </w:pPr>
    </w:p>
    <w:p w:rsidR="0094000B" w:rsidRPr="00D30F94" w:rsidRDefault="0094000B" w:rsidP="00D30F94">
      <w:pPr>
        <w:spacing w:after="0" w:line="288" w:lineRule="auto"/>
      </w:pPr>
      <w:r w:rsidRPr="005B3E73">
        <w:rPr>
          <w:szCs w:val="20"/>
        </w:rPr>
        <w:t>The skills lacking among applicants covered both technical and practical skills, as well as people and personal skills. On the technical side, UK employers reported a lack of digital skills, skills related to operational aspects of the role, and a lack of complex analytical skills.</w:t>
      </w:r>
      <w:r w:rsidRPr="00D30F94">
        <w:rPr>
          <w:sz w:val="24"/>
        </w:rPr>
        <w:t xml:space="preserve"> </w:t>
      </w:r>
      <w:r w:rsidRPr="005B3E73">
        <w:rPr>
          <w:szCs w:val="20"/>
        </w:rPr>
        <w:t xml:space="preserve">The main people and personal skills found lacking predominantly related to self-management </w:t>
      </w:r>
      <w:r w:rsidRPr="00D30F94">
        <w:t xml:space="preserve">skills, management and leadership, and sales and customer handling skills. </w:t>
      </w:r>
    </w:p>
    <w:p w:rsidR="00D30F94" w:rsidRDefault="00D30F94" w:rsidP="00D30F94">
      <w:pPr>
        <w:autoSpaceDE w:val="0"/>
        <w:autoSpaceDN w:val="0"/>
        <w:adjustRightInd w:val="0"/>
        <w:spacing w:after="0" w:line="288" w:lineRule="auto"/>
        <w:rPr>
          <w:rFonts w:eastAsiaTheme="minorEastAsia" w:cs="Arial"/>
          <w:b/>
          <w:color w:val="000000"/>
        </w:rPr>
      </w:pPr>
    </w:p>
    <w:p w:rsidR="0094000B" w:rsidRPr="00D30F94" w:rsidRDefault="0094000B" w:rsidP="00D30F94">
      <w:pPr>
        <w:autoSpaceDE w:val="0"/>
        <w:autoSpaceDN w:val="0"/>
        <w:adjustRightInd w:val="0"/>
        <w:spacing w:after="0" w:line="288" w:lineRule="auto"/>
        <w:rPr>
          <w:rFonts w:eastAsiaTheme="minorEastAsia" w:cs="Arial"/>
          <w:b/>
          <w:color w:val="000000"/>
        </w:rPr>
      </w:pPr>
      <w:r w:rsidRPr="00D30F94">
        <w:rPr>
          <w:rFonts w:eastAsiaTheme="minorEastAsia" w:cs="Arial"/>
          <w:b/>
          <w:color w:val="000000"/>
        </w:rPr>
        <w:t xml:space="preserve">The top 5 technical and practical skills lacking among applicants in the Primary Sector &amp; Utilities are: </w:t>
      </w:r>
    </w:p>
    <w:p w:rsidR="0094000B" w:rsidRPr="00D30F94" w:rsidRDefault="0094000B" w:rsidP="00D30F94">
      <w:pPr>
        <w:pStyle w:val="ListParagraph"/>
        <w:numPr>
          <w:ilvl w:val="0"/>
          <w:numId w:val="15"/>
        </w:numPr>
        <w:autoSpaceDE w:val="0"/>
        <w:autoSpaceDN w:val="0"/>
        <w:adjustRightInd w:val="0"/>
        <w:spacing w:after="0" w:line="288" w:lineRule="auto"/>
        <w:ind w:left="1134" w:hanging="567"/>
        <w:rPr>
          <w:rFonts w:eastAsiaTheme="minorEastAsia" w:cs="Arial"/>
          <w:b/>
          <w:color w:val="000000"/>
        </w:rPr>
      </w:pPr>
      <w:r w:rsidRPr="00D30F94">
        <w:rPr>
          <w:rFonts w:eastAsiaTheme="minorEastAsia" w:cs="Arial"/>
          <w:b/>
          <w:color w:val="000000"/>
        </w:rPr>
        <w:t>Specialist skills</w:t>
      </w:r>
      <w:r w:rsidR="00D30F94">
        <w:rPr>
          <w:rFonts w:eastAsiaTheme="minorEastAsia" w:cs="Arial"/>
          <w:b/>
          <w:color w:val="000000"/>
        </w:rPr>
        <w:t xml:space="preserve"> </w:t>
      </w:r>
      <w:r w:rsidRPr="00D30F94">
        <w:rPr>
          <w:rFonts w:eastAsiaTheme="minorEastAsia" w:cs="Arial"/>
          <w:b/>
          <w:color w:val="000000"/>
        </w:rPr>
        <w:t xml:space="preserve">/ knowledge (77%) </w:t>
      </w:r>
    </w:p>
    <w:p w:rsidR="0094000B" w:rsidRPr="00D30F94" w:rsidRDefault="0094000B" w:rsidP="00D30F94">
      <w:pPr>
        <w:pStyle w:val="ListParagraph"/>
        <w:numPr>
          <w:ilvl w:val="0"/>
          <w:numId w:val="15"/>
        </w:numPr>
        <w:autoSpaceDE w:val="0"/>
        <w:autoSpaceDN w:val="0"/>
        <w:adjustRightInd w:val="0"/>
        <w:spacing w:after="0" w:line="288" w:lineRule="auto"/>
        <w:ind w:left="1134" w:hanging="567"/>
        <w:rPr>
          <w:rFonts w:eastAsiaTheme="minorEastAsia" w:cs="Arial"/>
          <w:b/>
          <w:color w:val="000000"/>
        </w:rPr>
      </w:pPr>
      <w:r w:rsidRPr="00D30F94">
        <w:rPr>
          <w:rFonts w:eastAsiaTheme="minorEastAsia" w:cs="Arial"/>
          <w:b/>
          <w:color w:val="000000"/>
        </w:rPr>
        <w:t xml:space="preserve">Ability to manage own time and prioritise own tasks (47%) </w:t>
      </w:r>
    </w:p>
    <w:p w:rsidR="0094000B" w:rsidRPr="00D30F94" w:rsidRDefault="0094000B" w:rsidP="00D30F94">
      <w:pPr>
        <w:pStyle w:val="ListParagraph"/>
        <w:numPr>
          <w:ilvl w:val="0"/>
          <w:numId w:val="15"/>
        </w:numPr>
        <w:autoSpaceDE w:val="0"/>
        <w:autoSpaceDN w:val="0"/>
        <w:adjustRightInd w:val="0"/>
        <w:spacing w:after="0" w:line="288" w:lineRule="auto"/>
        <w:ind w:left="1134" w:hanging="567"/>
        <w:rPr>
          <w:rFonts w:eastAsiaTheme="minorEastAsia" w:cs="Arial"/>
          <w:b/>
          <w:color w:val="000000"/>
        </w:rPr>
      </w:pPr>
      <w:r w:rsidRPr="00D30F94">
        <w:rPr>
          <w:rFonts w:eastAsiaTheme="minorEastAsia" w:cs="Arial"/>
          <w:b/>
          <w:color w:val="000000"/>
        </w:rPr>
        <w:t>Reading</w:t>
      </w:r>
      <w:r w:rsidR="00D30F94">
        <w:rPr>
          <w:rFonts w:eastAsiaTheme="minorEastAsia" w:cs="Arial"/>
          <w:b/>
          <w:color w:val="000000"/>
        </w:rPr>
        <w:t xml:space="preserve"> </w:t>
      </w:r>
      <w:r w:rsidRPr="00D30F94">
        <w:rPr>
          <w:rFonts w:eastAsiaTheme="minorEastAsia" w:cs="Arial"/>
          <w:b/>
          <w:color w:val="000000"/>
        </w:rPr>
        <w:t>/ understanding instructions</w:t>
      </w:r>
      <w:r w:rsidR="00D30F94">
        <w:rPr>
          <w:rFonts w:eastAsiaTheme="minorEastAsia" w:cs="Arial"/>
          <w:b/>
          <w:color w:val="000000"/>
        </w:rPr>
        <w:t xml:space="preserve"> </w:t>
      </w:r>
      <w:r w:rsidRPr="00D30F94">
        <w:rPr>
          <w:rFonts w:eastAsiaTheme="minorEastAsia" w:cs="Arial"/>
          <w:b/>
          <w:color w:val="000000"/>
        </w:rPr>
        <w:t xml:space="preserve">/ reports etc (43%) </w:t>
      </w:r>
    </w:p>
    <w:p w:rsidR="0094000B" w:rsidRPr="00D30F94" w:rsidRDefault="0094000B" w:rsidP="00D30F94">
      <w:pPr>
        <w:pStyle w:val="ListParagraph"/>
        <w:numPr>
          <w:ilvl w:val="0"/>
          <w:numId w:val="15"/>
        </w:numPr>
        <w:autoSpaceDE w:val="0"/>
        <w:autoSpaceDN w:val="0"/>
        <w:adjustRightInd w:val="0"/>
        <w:spacing w:after="0" w:line="288" w:lineRule="auto"/>
        <w:ind w:left="1134" w:hanging="567"/>
        <w:rPr>
          <w:rFonts w:eastAsiaTheme="minorEastAsia" w:cs="Arial"/>
          <w:b/>
          <w:color w:val="000000"/>
        </w:rPr>
      </w:pPr>
      <w:r w:rsidRPr="00D30F94">
        <w:rPr>
          <w:rFonts w:eastAsiaTheme="minorEastAsia" w:cs="Arial"/>
          <w:b/>
          <w:color w:val="000000"/>
        </w:rPr>
        <w:t>Instructing, training</w:t>
      </w:r>
      <w:r w:rsidR="00D30F94">
        <w:rPr>
          <w:rFonts w:eastAsiaTheme="minorEastAsia" w:cs="Arial"/>
          <w:b/>
          <w:color w:val="000000"/>
        </w:rPr>
        <w:t xml:space="preserve"> </w:t>
      </w:r>
      <w:r w:rsidRPr="00D30F94">
        <w:rPr>
          <w:rFonts w:eastAsiaTheme="minorEastAsia" w:cs="Arial"/>
          <w:b/>
          <w:color w:val="000000"/>
        </w:rPr>
        <w:t xml:space="preserve">/ teaching people (41%) </w:t>
      </w:r>
    </w:p>
    <w:p w:rsidR="0094000B" w:rsidRPr="00D30F94" w:rsidRDefault="00462033" w:rsidP="00D30F94">
      <w:pPr>
        <w:pStyle w:val="ListParagraph"/>
        <w:numPr>
          <w:ilvl w:val="0"/>
          <w:numId w:val="15"/>
        </w:numPr>
        <w:autoSpaceDE w:val="0"/>
        <w:autoSpaceDN w:val="0"/>
        <w:adjustRightInd w:val="0"/>
        <w:spacing w:after="0" w:line="288" w:lineRule="auto"/>
        <w:ind w:left="1134" w:hanging="567"/>
        <w:rPr>
          <w:rFonts w:eastAsiaTheme="minorEastAsia" w:cs="Arial"/>
          <w:b/>
          <w:color w:val="000000"/>
        </w:rPr>
      </w:pPr>
      <w:r w:rsidRPr="00D30F94">
        <w:rPr>
          <w:rFonts w:eastAsiaTheme="minorEastAsia" w:cs="Arial"/>
          <w:b/>
          <w:color w:val="000000"/>
        </w:rPr>
        <w:t>Basic numerical skills (38%)</w:t>
      </w:r>
    </w:p>
    <w:p w:rsidR="000A1C82" w:rsidRPr="00BB469C" w:rsidRDefault="000A1C82" w:rsidP="00D30F94">
      <w:pPr>
        <w:autoSpaceDE w:val="0"/>
        <w:autoSpaceDN w:val="0"/>
        <w:adjustRightInd w:val="0"/>
        <w:spacing w:after="0" w:line="288" w:lineRule="auto"/>
        <w:rPr>
          <w:rFonts w:eastAsiaTheme="minorEastAsia" w:cs="Arial"/>
          <w:b/>
          <w:color w:val="000000"/>
        </w:rPr>
      </w:pPr>
    </w:p>
    <w:p w:rsidR="0094000B" w:rsidRPr="00977E37" w:rsidRDefault="0046217E" w:rsidP="00D30F94">
      <w:pPr>
        <w:spacing w:after="0" w:line="288" w:lineRule="auto"/>
        <w:rPr>
          <w:rFonts w:cs="Arial"/>
          <w:color w:val="280071"/>
          <w:sz w:val="24"/>
          <w:szCs w:val="28"/>
        </w:rPr>
      </w:pPr>
      <w:r w:rsidRPr="00977E37">
        <w:rPr>
          <w:rFonts w:cs="Arial"/>
          <w:color w:val="280071"/>
          <w:sz w:val="24"/>
          <w:szCs w:val="28"/>
        </w:rPr>
        <w:t>Addressing R</w:t>
      </w:r>
      <w:r w:rsidR="00462033" w:rsidRPr="00977E37">
        <w:rPr>
          <w:rFonts w:cs="Arial"/>
          <w:color w:val="280071"/>
          <w:sz w:val="24"/>
          <w:szCs w:val="28"/>
        </w:rPr>
        <w:t xml:space="preserve">ecruitment </w:t>
      </w:r>
      <w:r w:rsidRPr="00977E37">
        <w:rPr>
          <w:rFonts w:cs="Arial"/>
          <w:color w:val="280071"/>
          <w:sz w:val="24"/>
          <w:szCs w:val="28"/>
        </w:rPr>
        <w:t>C</w:t>
      </w:r>
      <w:r w:rsidR="00462033" w:rsidRPr="00977E37">
        <w:rPr>
          <w:rFonts w:cs="Arial"/>
          <w:color w:val="280071"/>
          <w:sz w:val="24"/>
          <w:szCs w:val="28"/>
        </w:rPr>
        <w:t>hallenges</w:t>
      </w:r>
    </w:p>
    <w:p w:rsidR="00D30F94" w:rsidRDefault="00D30F94" w:rsidP="00D30F94">
      <w:pPr>
        <w:autoSpaceDE w:val="0"/>
        <w:autoSpaceDN w:val="0"/>
        <w:adjustRightInd w:val="0"/>
        <w:spacing w:after="0" w:line="288" w:lineRule="auto"/>
        <w:rPr>
          <w:szCs w:val="20"/>
        </w:rPr>
      </w:pPr>
    </w:p>
    <w:p w:rsidR="00462033" w:rsidRPr="005B3E73" w:rsidRDefault="00130F92" w:rsidP="00D30F94">
      <w:pPr>
        <w:autoSpaceDE w:val="0"/>
        <w:autoSpaceDN w:val="0"/>
        <w:adjustRightInd w:val="0"/>
        <w:spacing w:after="0" w:line="288" w:lineRule="auto"/>
        <w:rPr>
          <w:b/>
          <w:szCs w:val="20"/>
        </w:rPr>
      </w:pPr>
      <w:r w:rsidRPr="005B3E73">
        <w:rPr>
          <w:szCs w:val="20"/>
        </w:rPr>
        <w:t xml:space="preserve">In the UK, </w:t>
      </w:r>
      <w:r w:rsidR="00462033" w:rsidRPr="005B3E73">
        <w:rPr>
          <w:szCs w:val="20"/>
        </w:rPr>
        <w:t xml:space="preserve">87% of establishments that had difficulty filling vacancies took action to help overcome challenges, such as increasing recruitment spend or using new methods. </w:t>
      </w:r>
      <w:r w:rsidR="00462033" w:rsidRPr="005B3E73">
        <w:rPr>
          <w:b/>
          <w:szCs w:val="20"/>
        </w:rPr>
        <w:t>53% of the Primary</w:t>
      </w:r>
      <w:r w:rsidR="00977E37">
        <w:rPr>
          <w:b/>
          <w:szCs w:val="20"/>
        </w:rPr>
        <w:t xml:space="preserve"> Sector</w:t>
      </w:r>
      <w:r w:rsidR="00462033" w:rsidRPr="005B3E73">
        <w:rPr>
          <w:b/>
          <w:szCs w:val="20"/>
        </w:rPr>
        <w:t xml:space="preserve"> &amp; Utilities took similar action, with 28% of employers trying to fill these roles by recruiting EU Nationals. However,</w:t>
      </w:r>
      <w:r w:rsidR="00BB469C" w:rsidRPr="005B3E73">
        <w:rPr>
          <w:b/>
          <w:szCs w:val="20"/>
        </w:rPr>
        <w:t xml:space="preserve"> according to this research</w:t>
      </w:r>
      <w:r w:rsidR="00462033" w:rsidRPr="005B3E73">
        <w:rPr>
          <w:b/>
          <w:szCs w:val="20"/>
        </w:rPr>
        <w:t xml:space="preserve"> only 9% of firms </w:t>
      </w:r>
      <w:r w:rsidR="00BB469C" w:rsidRPr="005B3E73">
        <w:rPr>
          <w:b/>
          <w:szCs w:val="20"/>
        </w:rPr>
        <w:t xml:space="preserve">currently </w:t>
      </w:r>
      <w:r w:rsidR="00462033" w:rsidRPr="005B3E73">
        <w:rPr>
          <w:b/>
          <w:szCs w:val="20"/>
        </w:rPr>
        <w:t xml:space="preserve">employ EU nationals. </w:t>
      </w:r>
    </w:p>
    <w:p w:rsidR="0094000B" w:rsidRPr="0094000B" w:rsidRDefault="0094000B" w:rsidP="00D30F94">
      <w:pPr>
        <w:autoSpaceDE w:val="0"/>
        <w:autoSpaceDN w:val="0"/>
        <w:adjustRightInd w:val="0"/>
        <w:spacing w:after="0" w:line="288" w:lineRule="auto"/>
      </w:pPr>
    </w:p>
    <w:p w:rsidR="0094000B" w:rsidRPr="00977E37" w:rsidRDefault="0046217E" w:rsidP="00D30F94">
      <w:pPr>
        <w:spacing w:after="0" w:line="288" w:lineRule="auto"/>
        <w:rPr>
          <w:rFonts w:cs="Arial"/>
          <w:color w:val="280071"/>
          <w:sz w:val="24"/>
          <w:szCs w:val="28"/>
        </w:rPr>
      </w:pPr>
      <w:r w:rsidRPr="00977E37">
        <w:rPr>
          <w:rFonts w:cs="Arial"/>
          <w:color w:val="280071"/>
          <w:sz w:val="24"/>
          <w:szCs w:val="28"/>
        </w:rPr>
        <w:t>Internal S</w:t>
      </w:r>
      <w:r w:rsidR="0094000B" w:rsidRPr="00977E37">
        <w:rPr>
          <w:rFonts w:cs="Arial"/>
          <w:color w:val="280071"/>
          <w:sz w:val="24"/>
          <w:szCs w:val="28"/>
        </w:rPr>
        <w:t xml:space="preserve">kills </w:t>
      </w:r>
      <w:r w:rsidRPr="00977E37">
        <w:rPr>
          <w:rFonts w:cs="Arial"/>
          <w:color w:val="280071"/>
          <w:sz w:val="24"/>
          <w:szCs w:val="28"/>
        </w:rPr>
        <w:t>C</w:t>
      </w:r>
      <w:r w:rsidR="0094000B" w:rsidRPr="00977E37">
        <w:rPr>
          <w:rFonts w:cs="Arial"/>
          <w:color w:val="280071"/>
          <w:sz w:val="24"/>
          <w:szCs w:val="28"/>
        </w:rPr>
        <w:t>hallenges</w:t>
      </w:r>
    </w:p>
    <w:p w:rsidR="0046217E" w:rsidRDefault="0046217E" w:rsidP="00D30F94">
      <w:pPr>
        <w:autoSpaceDE w:val="0"/>
        <w:autoSpaceDN w:val="0"/>
        <w:adjustRightInd w:val="0"/>
        <w:spacing w:after="0" w:line="288" w:lineRule="auto"/>
        <w:rPr>
          <w:szCs w:val="20"/>
        </w:rPr>
      </w:pPr>
    </w:p>
    <w:p w:rsidR="000A1C82" w:rsidRPr="005B3E73" w:rsidRDefault="00BB469C" w:rsidP="00D30F94">
      <w:pPr>
        <w:autoSpaceDE w:val="0"/>
        <w:autoSpaceDN w:val="0"/>
        <w:adjustRightInd w:val="0"/>
        <w:spacing w:after="0" w:line="288" w:lineRule="auto"/>
        <w:rPr>
          <w:szCs w:val="20"/>
        </w:rPr>
      </w:pPr>
      <w:r w:rsidRPr="005B3E73">
        <w:rPr>
          <w:szCs w:val="20"/>
        </w:rPr>
        <w:t>W</w:t>
      </w:r>
      <w:r w:rsidR="00740264" w:rsidRPr="005B3E73">
        <w:rPr>
          <w:szCs w:val="20"/>
        </w:rPr>
        <w:t>h</w:t>
      </w:r>
      <w:r w:rsidRPr="005B3E73">
        <w:rPr>
          <w:szCs w:val="20"/>
        </w:rPr>
        <w:t>ile</w:t>
      </w:r>
      <w:r w:rsidR="00740264" w:rsidRPr="005B3E73">
        <w:rPr>
          <w:szCs w:val="20"/>
        </w:rPr>
        <w:t xml:space="preserve"> the majority of </w:t>
      </w:r>
      <w:r w:rsidR="001C4DBC" w:rsidRPr="005B3E73">
        <w:rPr>
          <w:szCs w:val="20"/>
        </w:rPr>
        <w:t xml:space="preserve">UK </w:t>
      </w:r>
      <w:r w:rsidR="00740264" w:rsidRPr="005B3E73">
        <w:rPr>
          <w:szCs w:val="20"/>
        </w:rPr>
        <w:t>firms (87%) reported that all of their staff were fully proficient at their jobs, one in seven employers (13%) had at least one member of staff who was not and referred to as having a skills gap.</w:t>
      </w:r>
      <w:r w:rsidR="000A1C82" w:rsidRPr="005B3E73">
        <w:rPr>
          <w:szCs w:val="20"/>
        </w:rPr>
        <w:t xml:space="preserve"> </w:t>
      </w:r>
      <w:r w:rsidR="00740264" w:rsidRPr="005B3E73">
        <w:rPr>
          <w:szCs w:val="20"/>
        </w:rPr>
        <w:t xml:space="preserve">Nationally, the skills gap density has continued to fall from 5.5% in 2015 to 4.7% in 2017, with the majority of gaps being caused </w:t>
      </w:r>
      <w:r w:rsidR="0046217E">
        <w:rPr>
          <w:szCs w:val="20"/>
        </w:rPr>
        <w:t>by</w:t>
      </w:r>
      <w:r w:rsidR="00740264" w:rsidRPr="005B3E73">
        <w:rPr>
          <w:szCs w:val="20"/>
        </w:rPr>
        <w:t xml:space="preserve"> transient factors</w:t>
      </w:r>
      <w:r w:rsidRPr="005B3E73">
        <w:rPr>
          <w:szCs w:val="20"/>
        </w:rPr>
        <w:t xml:space="preserve"> (76%)</w:t>
      </w:r>
      <w:r w:rsidR="00740264" w:rsidRPr="005B3E73">
        <w:rPr>
          <w:szCs w:val="20"/>
        </w:rPr>
        <w:t xml:space="preserve">. </w:t>
      </w:r>
    </w:p>
    <w:p w:rsidR="000A1C82" w:rsidRPr="005B3E73" w:rsidRDefault="000A1C82" w:rsidP="00D30F94">
      <w:pPr>
        <w:autoSpaceDE w:val="0"/>
        <w:autoSpaceDN w:val="0"/>
        <w:adjustRightInd w:val="0"/>
        <w:spacing w:after="0" w:line="288" w:lineRule="auto"/>
        <w:rPr>
          <w:szCs w:val="20"/>
        </w:rPr>
      </w:pPr>
    </w:p>
    <w:p w:rsidR="00BB469C" w:rsidRPr="005B3E73" w:rsidRDefault="00740264" w:rsidP="00D30F94">
      <w:pPr>
        <w:autoSpaceDE w:val="0"/>
        <w:autoSpaceDN w:val="0"/>
        <w:adjustRightInd w:val="0"/>
        <w:spacing w:after="0" w:line="288" w:lineRule="auto"/>
        <w:rPr>
          <w:b/>
          <w:szCs w:val="20"/>
        </w:rPr>
      </w:pPr>
      <w:r w:rsidRPr="005B3E73">
        <w:rPr>
          <w:b/>
          <w:szCs w:val="20"/>
        </w:rPr>
        <w:t xml:space="preserve">However, in the Primary </w:t>
      </w:r>
      <w:r w:rsidR="00977E37">
        <w:rPr>
          <w:b/>
          <w:szCs w:val="20"/>
        </w:rPr>
        <w:t xml:space="preserve">Sector </w:t>
      </w:r>
      <w:r w:rsidRPr="005B3E73">
        <w:rPr>
          <w:b/>
          <w:szCs w:val="20"/>
        </w:rPr>
        <w:t xml:space="preserve">&amp; Utilities, the skills gap density increased significantly from 3.8% to 4.7% in 2017. </w:t>
      </w:r>
      <w:r w:rsidR="000A1C82" w:rsidRPr="005B3E73">
        <w:rPr>
          <w:b/>
          <w:szCs w:val="20"/>
        </w:rPr>
        <w:t xml:space="preserve">Approximately one in six skills gaps (17%) were caused entirely by transient factors. English not being the first language of staff contributed to 8% of skills gaps in the sector, compared to 1% across all sectors.  </w:t>
      </w:r>
    </w:p>
    <w:p w:rsidR="00BB469C" w:rsidRPr="005B3E73" w:rsidRDefault="00BB469C" w:rsidP="00D30F94">
      <w:pPr>
        <w:autoSpaceDE w:val="0"/>
        <w:autoSpaceDN w:val="0"/>
        <w:adjustRightInd w:val="0"/>
        <w:spacing w:after="0" w:line="288" w:lineRule="auto"/>
        <w:rPr>
          <w:b/>
          <w:sz w:val="20"/>
          <w:szCs w:val="20"/>
        </w:rPr>
      </w:pPr>
    </w:p>
    <w:p w:rsidR="00BB469C" w:rsidRPr="000B220A" w:rsidRDefault="00BB469C" w:rsidP="00D30F94">
      <w:pPr>
        <w:pStyle w:val="BodyCopy"/>
      </w:pPr>
      <w:r w:rsidRPr="000B220A">
        <w:t xml:space="preserve">Top 3 technical and practical skills lacking among staff with skills gaps in the sector: </w:t>
      </w:r>
    </w:p>
    <w:p w:rsidR="00BB469C" w:rsidRPr="000B220A" w:rsidRDefault="00BB469C" w:rsidP="005B3E73">
      <w:pPr>
        <w:pStyle w:val="BodyCopy"/>
        <w:numPr>
          <w:ilvl w:val="0"/>
          <w:numId w:val="16"/>
        </w:numPr>
        <w:ind w:left="1134" w:hanging="567"/>
      </w:pPr>
      <w:r w:rsidRPr="000B220A">
        <w:t>Specialist skills</w:t>
      </w:r>
      <w:r w:rsidR="0046217E">
        <w:t xml:space="preserve"> </w:t>
      </w:r>
      <w:r w:rsidRPr="000B220A">
        <w:t xml:space="preserve">/ knowledge (48%) </w:t>
      </w:r>
    </w:p>
    <w:p w:rsidR="00BB469C" w:rsidRPr="000B220A" w:rsidRDefault="00BB469C" w:rsidP="005B3E73">
      <w:pPr>
        <w:pStyle w:val="BodyCopy"/>
        <w:numPr>
          <w:ilvl w:val="0"/>
          <w:numId w:val="16"/>
        </w:numPr>
        <w:ind w:left="1134" w:hanging="567"/>
      </w:pPr>
      <w:r w:rsidRPr="000B220A">
        <w:t>Reading or understanding instructions, reports etc</w:t>
      </w:r>
      <w:r w:rsidR="0046217E">
        <w:t>.</w:t>
      </w:r>
      <w:r w:rsidRPr="000B220A">
        <w:t xml:space="preserve"> (32%) </w:t>
      </w:r>
    </w:p>
    <w:p w:rsidR="00BB469C" w:rsidRPr="000B220A" w:rsidRDefault="00BB469C" w:rsidP="005B3E73">
      <w:pPr>
        <w:pStyle w:val="BodyCopy"/>
        <w:numPr>
          <w:ilvl w:val="0"/>
          <w:numId w:val="16"/>
        </w:numPr>
        <w:ind w:left="1134" w:hanging="567"/>
      </w:pPr>
      <w:r w:rsidRPr="000B220A">
        <w:t>Adapting to new equipment</w:t>
      </w:r>
      <w:r w:rsidR="0046217E">
        <w:t xml:space="preserve"> </w:t>
      </w:r>
      <w:r w:rsidRPr="000B220A">
        <w:t xml:space="preserve">/ materials (31%) </w:t>
      </w:r>
    </w:p>
    <w:p w:rsidR="00BB469C" w:rsidRPr="000B220A" w:rsidRDefault="00BB469C">
      <w:pPr>
        <w:pStyle w:val="BodyCopy"/>
      </w:pPr>
    </w:p>
    <w:p w:rsidR="00BB469C" w:rsidRPr="000B220A" w:rsidRDefault="00BB469C">
      <w:pPr>
        <w:pStyle w:val="BodyCopy"/>
      </w:pPr>
      <w:r w:rsidRPr="000B220A">
        <w:t xml:space="preserve">Top 3 people and personal skills lacking among staff with skills gaps in the sector: </w:t>
      </w:r>
    </w:p>
    <w:p w:rsidR="00BB469C" w:rsidRPr="000B220A" w:rsidRDefault="00BB469C" w:rsidP="005B3E73">
      <w:pPr>
        <w:pStyle w:val="BodyCopy"/>
        <w:numPr>
          <w:ilvl w:val="0"/>
          <w:numId w:val="17"/>
        </w:numPr>
        <w:ind w:left="1134" w:hanging="567"/>
      </w:pPr>
      <w:r w:rsidRPr="000B220A">
        <w:t xml:space="preserve">Ability to manage own time &amp; prioritise own tasks (54%) </w:t>
      </w:r>
    </w:p>
    <w:p w:rsidR="00BB469C" w:rsidRPr="000B220A" w:rsidRDefault="00BB469C" w:rsidP="005B3E73">
      <w:pPr>
        <w:pStyle w:val="BodyCopy"/>
        <w:numPr>
          <w:ilvl w:val="0"/>
          <w:numId w:val="17"/>
        </w:numPr>
        <w:ind w:left="1134" w:hanging="567"/>
      </w:pPr>
      <w:r w:rsidRPr="000B220A">
        <w:lastRenderedPageBreak/>
        <w:t xml:space="preserve">Team working (49%) </w:t>
      </w:r>
    </w:p>
    <w:p w:rsidR="00BB469C" w:rsidRPr="000B220A" w:rsidRDefault="00BB469C" w:rsidP="005B3E73">
      <w:pPr>
        <w:pStyle w:val="BodyCopy"/>
        <w:numPr>
          <w:ilvl w:val="0"/>
          <w:numId w:val="17"/>
        </w:numPr>
        <w:ind w:left="1134" w:hanging="567"/>
      </w:pPr>
      <w:r w:rsidRPr="000B220A">
        <w:t>Managing</w:t>
      </w:r>
      <w:r w:rsidR="0046217E">
        <w:t xml:space="preserve"> </w:t>
      </w:r>
      <w:r w:rsidRPr="000B220A">
        <w:t xml:space="preserve">/ motivating other staff (33%) </w:t>
      </w:r>
    </w:p>
    <w:p w:rsidR="00BB469C" w:rsidRPr="005B3E73" w:rsidRDefault="00BB469C" w:rsidP="00D30F94">
      <w:pPr>
        <w:autoSpaceDE w:val="0"/>
        <w:autoSpaceDN w:val="0"/>
        <w:adjustRightInd w:val="0"/>
        <w:spacing w:after="0" w:line="288" w:lineRule="auto"/>
        <w:rPr>
          <w:b/>
          <w:sz w:val="20"/>
          <w:szCs w:val="20"/>
        </w:rPr>
      </w:pPr>
    </w:p>
    <w:p w:rsidR="009B64C8" w:rsidRPr="0046217E" w:rsidRDefault="009B64C8" w:rsidP="00D30F94">
      <w:pPr>
        <w:autoSpaceDE w:val="0"/>
        <w:autoSpaceDN w:val="0"/>
        <w:adjustRightInd w:val="0"/>
        <w:spacing w:after="0" w:line="288" w:lineRule="auto"/>
        <w:rPr>
          <w:b/>
        </w:rPr>
      </w:pPr>
      <w:r w:rsidRPr="0046217E">
        <w:t xml:space="preserve">The sector is also lagging behind with the percentage of employers who are High Performance Working (HPW). HPW is an approach by employers that aims to stimulate more employee involvement and commitment, to grow high levels of performance. Overall, 9% of UK employers are seen as HPW. </w:t>
      </w:r>
      <w:r w:rsidR="00977E37">
        <w:rPr>
          <w:b/>
        </w:rPr>
        <w:t>Only 3% of Primary Sector</w:t>
      </w:r>
      <w:r w:rsidRPr="0046217E">
        <w:rPr>
          <w:b/>
        </w:rPr>
        <w:t xml:space="preserve"> &amp; Utilities firms are HPW.</w:t>
      </w:r>
    </w:p>
    <w:p w:rsidR="009B64C8" w:rsidRPr="0046217E" w:rsidRDefault="009B64C8" w:rsidP="00D30F94">
      <w:pPr>
        <w:autoSpaceDE w:val="0"/>
        <w:autoSpaceDN w:val="0"/>
        <w:adjustRightInd w:val="0"/>
        <w:spacing w:after="0" w:line="288" w:lineRule="auto"/>
      </w:pPr>
    </w:p>
    <w:p w:rsidR="00462033" w:rsidRPr="0046217E" w:rsidRDefault="00BB469C" w:rsidP="00D30F94">
      <w:pPr>
        <w:autoSpaceDE w:val="0"/>
        <w:autoSpaceDN w:val="0"/>
        <w:adjustRightInd w:val="0"/>
        <w:spacing w:after="0" w:line="288" w:lineRule="auto"/>
      </w:pPr>
      <w:r w:rsidRPr="0046217E">
        <w:t xml:space="preserve">The majority of UK establishments with skills gaps had taken action (85%) and a further 5% had plans to do so in the future, most likely by increasing training activity or spending. </w:t>
      </w:r>
      <w:r w:rsidRPr="0046217E">
        <w:rPr>
          <w:b/>
        </w:rPr>
        <w:t xml:space="preserve">The Primary </w:t>
      </w:r>
      <w:r w:rsidR="00977E37">
        <w:rPr>
          <w:b/>
        </w:rPr>
        <w:t xml:space="preserve">Sector </w:t>
      </w:r>
      <w:r w:rsidRPr="0046217E">
        <w:rPr>
          <w:b/>
        </w:rPr>
        <w:t>&amp; Utilities was among the most likely to cite major impacts of skills gaps, but the least likely of sectors to respond in any way (74%)</w:t>
      </w:r>
      <w:r w:rsidR="000A1C82" w:rsidRPr="0046217E">
        <w:rPr>
          <w:b/>
        </w:rPr>
        <w:t>, despite 39% of the sector reporting skills gaps had driven up operating costs</w:t>
      </w:r>
      <w:r w:rsidRPr="0046217E">
        <w:rPr>
          <w:b/>
        </w:rPr>
        <w:t>.</w:t>
      </w:r>
    </w:p>
    <w:p w:rsidR="000A1C82" w:rsidRDefault="000A1C82" w:rsidP="00D30F94">
      <w:pPr>
        <w:autoSpaceDE w:val="0"/>
        <w:autoSpaceDN w:val="0"/>
        <w:adjustRightInd w:val="0"/>
        <w:spacing w:after="0" w:line="288" w:lineRule="auto"/>
      </w:pPr>
    </w:p>
    <w:p w:rsidR="000A1C82" w:rsidRPr="00977E37" w:rsidRDefault="000A1C82" w:rsidP="00D30F94">
      <w:pPr>
        <w:spacing w:after="0" w:line="288" w:lineRule="auto"/>
        <w:rPr>
          <w:rFonts w:cs="Arial"/>
          <w:color w:val="280071"/>
          <w:sz w:val="24"/>
          <w:szCs w:val="28"/>
        </w:rPr>
      </w:pPr>
      <w:r w:rsidRPr="00977E37">
        <w:rPr>
          <w:rFonts w:cs="Arial"/>
          <w:color w:val="280071"/>
          <w:sz w:val="24"/>
          <w:szCs w:val="28"/>
        </w:rPr>
        <w:t>Upskilling</w:t>
      </w:r>
    </w:p>
    <w:p w:rsidR="0046217E" w:rsidRDefault="0046217E" w:rsidP="00D30F94">
      <w:pPr>
        <w:autoSpaceDE w:val="0"/>
        <w:autoSpaceDN w:val="0"/>
        <w:adjustRightInd w:val="0"/>
        <w:spacing w:after="0" w:line="288" w:lineRule="auto"/>
      </w:pPr>
    </w:p>
    <w:p w:rsidR="00675BB0" w:rsidRPr="0046217E" w:rsidRDefault="00892249" w:rsidP="00D30F94">
      <w:pPr>
        <w:autoSpaceDE w:val="0"/>
        <w:autoSpaceDN w:val="0"/>
        <w:adjustRightInd w:val="0"/>
        <w:spacing w:after="0" w:line="288" w:lineRule="auto"/>
        <w:rPr>
          <w:b/>
        </w:rPr>
      </w:pPr>
      <w:r w:rsidRPr="0046217E">
        <w:t xml:space="preserve">Across the UK, 63% of employers expect that at least some of their staff will need to acquire new skills or knowledge over the next twelve months, </w:t>
      </w:r>
      <w:r w:rsidR="00675BB0" w:rsidRPr="0046217E">
        <w:t xml:space="preserve">11% lower than it was in 2013 and </w:t>
      </w:r>
      <w:r w:rsidR="00675BB0" w:rsidRPr="0046217E">
        <w:rPr>
          <w:b/>
        </w:rPr>
        <w:t>9% lower in the Primary Sector &amp; Utilities, standing at 58% in 2017.</w:t>
      </w:r>
    </w:p>
    <w:p w:rsidR="00675BB0" w:rsidRPr="0046217E" w:rsidRDefault="00675BB0" w:rsidP="00D30F94">
      <w:pPr>
        <w:autoSpaceDE w:val="0"/>
        <w:autoSpaceDN w:val="0"/>
        <w:adjustRightInd w:val="0"/>
        <w:spacing w:after="0" w:line="288" w:lineRule="auto"/>
        <w:rPr>
          <w:b/>
        </w:rPr>
      </w:pPr>
    </w:p>
    <w:p w:rsidR="00675BB0" w:rsidRPr="0046217E" w:rsidRDefault="00675BB0" w:rsidP="00D30F94">
      <w:pPr>
        <w:autoSpaceDE w:val="0"/>
        <w:autoSpaceDN w:val="0"/>
        <w:adjustRightInd w:val="0"/>
        <w:spacing w:after="0" w:line="288" w:lineRule="auto"/>
      </w:pPr>
      <w:r w:rsidRPr="0046217E">
        <w:t>39% of UK employers reported this was due to new legisla</w:t>
      </w:r>
      <w:r w:rsidR="0046217E">
        <w:t>tive or regulatory requirements.</w:t>
      </w:r>
      <w:r w:rsidRPr="0046217E">
        <w:t xml:space="preserve"> </w:t>
      </w:r>
      <w:r w:rsidR="0046217E">
        <w:t>T</w:t>
      </w:r>
      <w:r w:rsidRPr="0046217E">
        <w:t xml:space="preserve">he same number also attributed it to the development of new technologies and equipment and a quarter said it was due to increased competitive pressure. One in eight firms said the UK’s decision to leave the EU was a reason for the need for upskilling and was reported by </w:t>
      </w:r>
      <w:r w:rsidR="00977E37">
        <w:rPr>
          <w:b/>
        </w:rPr>
        <w:t>16% of the Primary Sector &amp; Utilities</w:t>
      </w:r>
      <w:r w:rsidRPr="0046217E">
        <w:rPr>
          <w:b/>
        </w:rPr>
        <w:t xml:space="preserve">. </w:t>
      </w:r>
    </w:p>
    <w:p w:rsidR="00675BB0" w:rsidRPr="0046217E" w:rsidRDefault="00675BB0" w:rsidP="00D30F94">
      <w:pPr>
        <w:autoSpaceDE w:val="0"/>
        <w:autoSpaceDN w:val="0"/>
        <w:adjustRightInd w:val="0"/>
        <w:spacing w:after="0" w:line="288" w:lineRule="auto"/>
      </w:pPr>
    </w:p>
    <w:p w:rsidR="00675BB0" w:rsidRPr="00977E37" w:rsidRDefault="00675BB0" w:rsidP="00D30F94">
      <w:pPr>
        <w:spacing w:after="0" w:line="288" w:lineRule="auto"/>
        <w:rPr>
          <w:rFonts w:cs="Arial"/>
          <w:color w:val="280071"/>
          <w:sz w:val="24"/>
          <w:szCs w:val="28"/>
        </w:rPr>
      </w:pPr>
      <w:r w:rsidRPr="00977E37">
        <w:rPr>
          <w:rFonts w:cs="Arial"/>
          <w:color w:val="280071"/>
          <w:sz w:val="24"/>
          <w:szCs w:val="28"/>
        </w:rPr>
        <w:t>Training &amp; Workforce Development</w:t>
      </w:r>
    </w:p>
    <w:p w:rsidR="0046217E" w:rsidRDefault="0046217E" w:rsidP="00D30F94">
      <w:pPr>
        <w:autoSpaceDE w:val="0"/>
        <w:autoSpaceDN w:val="0"/>
        <w:adjustRightInd w:val="0"/>
        <w:spacing w:after="0" w:line="288" w:lineRule="auto"/>
        <w:rPr>
          <w:szCs w:val="20"/>
        </w:rPr>
      </w:pPr>
    </w:p>
    <w:p w:rsidR="00675BB0" w:rsidRPr="005B3E73" w:rsidRDefault="00FE5C97" w:rsidP="00D30F94">
      <w:pPr>
        <w:autoSpaceDE w:val="0"/>
        <w:autoSpaceDN w:val="0"/>
        <w:adjustRightInd w:val="0"/>
        <w:spacing w:after="0" w:line="288" w:lineRule="auto"/>
        <w:rPr>
          <w:b/>
          <w:szCs w:val="20"/>
        </w:rPr>
      </w:pPr>
      <w:r w:rsidRPr="005B3E73">
        <w:rPr>
          <w:szCs w:val="20"/>
        </w:rPr>
        <w:t xml:space="preserve">Two-thirds (66%) of UK employers had provided training for their staff over the past 12 months, with either off-the-job training or on-the-job training provided by around half of all employers in each case (48% and 53%). </w:t>
      </w:r>
      <w:r w:rsidRPr="005B3E73">
        <w:rPr>
          <w:b/>
          <w:szCs w:val="20"/>
        </w:rPr>
        <w:t>Employers in the Primary Sector and Utilities were the least likel</w:t>
      </w:r>
      <w:r w:rsidR="006F24E7" w:rsidRPr="005B3E73">
        <w:rPr>
          <w:b/>
          <w:szCs w:val="20"/>
        </w:rPr>
        <w:t>y to provide any training (53%) and training expenditure substantially decreased by 20% since 2015.</w:t>
      </w:r>
    </w:p>
    <w:p w:rsidR="00FE5C97" w:rsidRPr="005B3E73" w:rsidRDefault="00FE5C97" w:rsidP="00D30F94">
      <w:pPr>
        <w:autoSpaceDE w:val="0"/>
        <w:autoSpaceDN w:val="0"/>
        <w:adjustRightInd w:val="0"/>
        <w:spacing w:after="0" w:line="288" w:lineRule="auto"/>
        <w:rPr>
          <w:szCs w:val="20"/>
        </w:rPr>
      </w:pPr>
    </w:p>
    <w:p w:rsidR="00FE5C97" w:rsidRPr="005B3E73" w:rsidRDefault="00FE5C97" w:rsidP="00D30F94">
      <w:pPr>
        <w:autoSpaceDE w:val="0"/>
        <w:autoSpaceDN w:val="0"/>
        <w:adjustRightInd w:val="0"/>
        <w:spacing w:after="0" w:line="288" w:lineRule="auto"/>
        <w:rPr>
          <w:b/>
          <w:szCs w:val="20"/>
        </w:rPr>
      </w:pPr>
      <w:r w:rsidRPr="005B3E73">
        <w:rPr>
          <w:b/>
          <w:szCs w:val="20"/>
        </w:rPr>
        <w:t>The top 5 types of training provided by the Primary Sector &amp; Utilities:</w:t>
      </w:r>
    </w:p>
    <w:p w:rsidR="00FE5C97" w:rsidRPr="005B3E73" w:rsidRDefault="00630033" w:rsidP="0046217E">
      <w:pPr>
        <w:pStyle w:val="ListParagraph"/>
        <w:numPr>
          <w:ilvl w:val="0"/>
          <w:numId w:val="18"/>
        </w:numPr>
        <w:autoSpaceDE w:val="0"/>
        <w:autoSpaceDN w:val="0"/>
        <w:adjustRightInd w:val="0"/>
        <w:spacing w:after="0" w:line="288" w:lineRule="auto"/>
        <w:ind w:left="1134" w:hanging="567"/>
        <w:rPr>
          <w:szCs w:val="20"/>
        </w:rPr>
      </w:pPr>
      <w:r>
        <w:rPr>
          <w:b/>
          <w:szCs w:val="20"/>
        </w:rPr>
        <w:t>Job-</w:t>
      </w:r>
      <w:r w:rsidR="00FE5C97" w:rsidRPr="005B3E73">
        <w:rPr>
          <w:b/>
          <w:szCs w:val="20"/>
        </w:rPr>
        <w:t>specific training (81%)</w:t>
      </w:r>
    </w:p>
    <w:p w:rsidR="00FE5C97" w:rsidRPr="005B3E73" w:rsidRDefault="00FE5C97" w:rsidP="0046217E">
      <w:pPr>
        <w:pStyle w:val="ListParagraph"/>
        <w:numPr>
          <w:ilvl w:val="0"/>
          <w:numId w:val="18"/>
        </w:numPr>
        <w:autoSpaceDE w:val="0"/>
        <w:autoSpaceDN w:val="0"/>
        <w:adjustRightInd w:val="0"/>
        <w:spacing w:after="0" w:line="288" w:lineRule="auto"/>
        <w:ind w:left="1134" w:hanging="567"/>
        <w:rPr>
          <w:szCs w:val="20"/>
        </w:rPr>
      </w:pPr>
      <w:r w:rsidRPr="005B3E73">
        <w:rPr>
          <w:b/>
          <w:szCs w:val="20"/>
        </w:rPr>
        <w:t>Health &amp; Safety training (72%)</w:t>
      </w:r>
    </w:p>
    <w:p w:rsidR="00FE5C97" w:rsidRPr="005B3E73" w:rsidRDefault="00FE5C97" w:rsidP="0046217E">
      <w:pPr>
        <w:pStyle w:val="ListParagraph"/>
        <w:numPr>
          <w:ilvl w:val="0"/>
          <w:numId w:val="18"/>
        </w:numPr>
        <w:autoSpaceDE w:val="0"/>
        <w:autoSpaceDN w:val="0"/>
        <w:adjustRightInd w:val="0"/>
        <w:spacing w:after="0" w:line="288" w:lineRule="auto"/>
        <w:ind w:left="1134" w:hanging="567"/>
        <w:rPr>
          <w:szCs w:val="20"/>
        </w:rPr>
      </w:pPr>
      <w:r w:rsidRPr="005B3E73">
        <w:rPr>
          <w:b/>
          <w:szCs w:val="20"/>
        </w:rPr>
        <w:t>Basic induction (43%)</w:t>
      </w:r>
    </w:p>
    <w:p w:rsidR="00FE5C97" w:rsidRPr="005B3E73" w:rsidRDefault="00FE5C97" w:rsidP="0046217E">
      <w:pPr>
        <w:pStyle w:val="ListParagraph"/>
        <w:numPr>
          <w:ilvl w:val="0"/>
          <w:numId w:val="18"/>
        </w:numPr>
        <w:autoSpaceDE w:val="0"/>
        <w:autoSpaceDN w:val="0"/>
        <w:adjustRightInd w:val="0"/>
        <w:spacing w:after="0" w:line="288" w:lineRule="auto"/>
        <w:ind w:left="1134" w:hanging="567"/>
        <w:rPr>
          <w:szCs w:val="20"/>
        </w:rPr>
      </w:pPr>
      <w:r w:rsidRPr="005B3E73">
        <w:rPr>
          <w:b/>
          <w:szCs w:val="20"/>
        </w:rPr>
        <w:t>New technology training (41%)</w:t>
      </w:r>
    </w:p>
    <w:p w:rsidR="00FE5C97" w:rsidRPr="005B3E73" w:rsidRDefault="00FE5C97" w:rsidP="0046217E">
      <w:pPr>
        <w:pStyle w:val="ListParagraph"/>
        <w:numPr>
          <w:ilvl w:val="0"/>
          <w:numId w:val="18"/>
        </w:numPr>
        <w:autoSpaceDE w:val="0"/>
        <w:autoSpaceDN w:val="0"/>
        <w:adjustRightInd w:val="0"/>
        <w:spacing w:after="0" w:line="288" w:lineRule="auto"/>
        <w:ind w:left="1134" w:hanging="567"/>
        <w:rPr>
          <w:szCs w:val="20"/>
        </w:rPr>
      </w:pPr>
      <w:r w:rsidRPr="005B3E73">
        <w:rPr>
          <w:b/>
          <w:szCs w:val="20"/>
        </w:rPr>
        <w:t>Extensive induction (21%)</w:t>
      </w:r>
    </w:p>
    <w:p w:rsidR="00615567" w:rsidRPr="005B3E73" w:rsidRDefault="00615567" w:rsidP="00D30F94">
      <w:pPr>
        <w:autoSpaceDE w:val="0"/>
        <w:autoSpaceDN w:val="0"/>
        <w:adjustRightInd w:val="0"/>
        <w:spacing w:after="0" w:line="288" w:lineRule="auto"/>
        <w:rPr>
          <w:b/>
          <w:szCs w:val="20"/>
        </w:rPr>
      </w:pPr>
    </w:p>
    <w:p w:rsidR="00615567" w:rsidRPr="005B3E73" w:rsidRDefault="00615567" w:rsidP="00D30F94">
      <w:pPr>
        <w:autoSpaceDE w:val="0"/>
        <w:autoSpaceDN w:val="0"/>
        <w:adjustRightInd w:val="0"/>
        <w:spacing w:after="0" w:line="288" w:lineRule="auto"/>
        <w:rPr>
          <w:szCs w:val="20"/>
        </w:rPr>
      </w:pPr>
      <w:r w:rsidRPr="005B3E73">
        <w:rPr>
          <w:szCs w:val="20"/>
        </w:rPr>
        <w:t xml:space="preserve">51% of employers have been using online training and e-learning, an increasingly popular process, yet </w:t>
      </w:r>
      <w:r w:rsidR="0046217E">
        <w:rPr>
          <w:szCs w:val="20"/>
        </w:rPr>
        <w:t xml:space="preserve">this </w:t>
      </w:r>
      <w:r w:rsidRPr="005B3E73">
        <w:rPr>
          <w:szCs w:val="20"/>
        </w:rPr>
        <w:t xml:space="preserve">was </w:t>
      </w:r>
      <w:r w:rsidRPr="005B3E73">
        <w:rPr>
          <w:b/>
          <w:szCs w:val="20"/>
        </w:rPr>
        <w:t xml:space="preserve">least common among those in the Primary Sector &amp; Utilities, with only 23% using digital methods of training. </w:t>
      </w:r>
      <w:r w:rsidR="009B64C8" w:rsidRPr="005B3E73">
        <w:rPr>
          <w:szCs w:val="20"/>
        </w:rPr>
        <w:t xml:space="preserve">In addition, in the UK there has been a slight decrease in the proportion of all staff being trained to a nationally recognised qualification in 2017, sitting at 11% and </w:t>
      </w:r>
      <w:r w:rsidR="009B64C8" w:rsidRPr="005B3E73">
        <w:rPr>
          <w:b/>
          <w:szCs w:val="20"/>
        </w:rPr>
        <w:t xml:space="preserve">equating to 13% of staff within the Primary Sector &amp; Utilities. </w:t>
      </w:r>
    </w:p>
    <w:p w:rsidR="000B220A" w:rsidRPr="005B3E73" w:rsidRDefault="000B220A" w:rsidP="00D30F94">
      <w:pPr>
        <w:pStyle w:val="Heading4"/>
        <w:rPr>
          <w:szCs w:val="28"/>
        </w:rPr>
      </w:pPr>
      <w:r w:rsidRPr="005B3E73">
        <w:rPr>
          <w:szCs w:val="28"/>
        </w:rPr>
        <w:t xml:space="preserve">Training to </w:t>
      </w:r>
      <w:r w:rsidR="0046217E" w:rsidRPr="00977E37">
        <w:rPr>
          <w:szCs w:val="28"/>
        </w:rPr>
        <w:t>Q</w:t>
      </w:r>
      <w:r w:rsidRPr="005B3E73">
        <w:rPr>
          <w:szCs w:val="28"/>
        </w:rPr>
        <w:t xml:space="preserve">ualifications </w:t>
      </w:r>
    </w:p>
    <w:p w:rsidR="0046217E" w:rsidRDefault="0046217E" w:rsidP="00D30F94">
      <w:pPr>
        <w:spacing w:after="0" w:line="288" w:lineRule="auto"/>
        <w:rPr>
          <w:szCs w:val="20"/>
        </w:rPr>
      </w:pPr>
    </w:p>
    <w:p w:rsidR="000B220A" w:rsidRDefault="000B220A" w:rsidP="00D30F94">
      <w:pPr>
        <w:spacing w:after="0" w:line="288" w:lineRule="auto"/>
        <w:rPr>
          <w:szCs w:val="20"/>
        </w:rPr>
      </w:pPr>
      <w:r w:rsidRPr="0046217E">
        <w:rPr>
          <w:szCs w:val="20"/>
        </w:rPr>
        <w:t xml:space="preserve">There has been a decrease in the UK of the proportion of all staff being trained to nationally recognised qualifications in 2017 to 11%, down from 12% in 2015. </w:t>
      </w:r>
      <w:r w:rsidRPr="0046217E">
        <w:rPr>
          <w:b/>
          <w:szCs w:val="20"/>
        </w:rPr>
        <w:t>In the Primary Sector &amp; Utilities 13% of all staff were being trained to nationally recognised qualifications</w:t>
      </w:r>
      <w:r w:rsidR="00D6284E" w:rsidRPr="0046217E">
        <w:rPr>
          <w:szCs w:val="20"/>
        </w:rPr>
        <w:t xml:space="preserve">. </w:t>
      </w:r>
      <w:r w:rsidRPr="0046217E">
        <w:rPr>
          <w:szCs w:val="20"/>
        </w:rPr>
        <w:t>The decrease in training to qualifications occurred at levels 1, 2 and 3, while the proportion of training employers using Level 4 qualifications was unchanged.</w:t>
      </w:r>
    </w:p>
    <w:p w:rsidR="0046217E" w:rsidRPr="0046217E" w:rsidRDefault="0046217E" w:rsidP="00D30F94">
      <w:pPr>
        <w:spacing w:after="0" w:line="288" w:lineRule="auto"/>
        <w:rPr>
          <w:szCs w:val="20"/>
        </w:rPr>
      </w:pPr>
    </w:p>
    <w:p w:rsidR="000B220A" w:rsidRPr="005B3E73" w:rsidRDefault="000B220A" w:rsidP="005B3E73">
      <w:pPr>
        <w:spacing w:after="0" w:line="288" w:lineRule="auto"/>
        <w:rPr>
          <w:szCs w:val="20"/>
        </w:rPr>
      </w:pPr>
      <w:r w:rsidRPr="0046217E">
        <w:rPr>
          <w:szCs w:val="20"/>
        </w:rPr>
        <w:t xml:space="preserve">The use of online training and e-learning has increased across all countries and sectors, and in 2017 was being used by half of all employers that train (51%, up from 45% in 2015). </w:t>
      </w:r>
      <w:r w:rsidR="0046217E">
        <w:rPr>
          <w:szCs w:val="20"/>
        </w:rPr>
        <w:t>However,</w:t>
      </w:r>
      <w:r w:rsidRPr="0046217E">
        <w:rPr>
          <w:szCs w:val="20"/>
        </w:rPr>
        <w:t xml:space="preserve"> </w:t>
      </w:r>
      <w:r w:rsidRPr="0046217E">
        <w:rPr>
          <w:b/>
          <w:szCs w:val="20"/>
        </w:rPr>
        <w:t xml:space="preserve">it was least common among those in </w:t>
      </w:r>
      <w:r w:rsidR="0046217E">
        <w:rPr>
          <w:b/>
          <w:szCs w:val="20"/>
        </w:rPr>
        <w:t xml:space="preserve">the </w:t>
      </w:r>
      <w:r w:rsidRPr="0046217E">
        <w:rPr>
          <w:b/>
          <w:szCs w:val="20"/>
        </w:rPr>
        <w:t>Primary Sector and Utilities (23%).</w:t>
      </w:r>
    </w:p>
    <w:sectPr w:rsidR="000B220A" w:rsidRPr="005B3E73" w:rsidSect="005B3E73">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418"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42" w:rsidRDefault="004A4142" w:rsidP="004301EF">
      <w:pPr>
        <w:spacing w:after="0" w:line="240" w:lineRule="auto"/>
      </w:pPr>
      <w:r>
        <w:separator/>
      </w:r>
    </w:p>
    <w:p w:rsidR="004A4142" w:rsidRDefault="004A4142"/>
  </w:endnote>
  <w:endnote w:type="continuationSeparator" w:id="0">
    <w:p w:rsidR="004A4142" w:rsidRDefault="004A4142" w:rsidP="004301EF">
      <w:pPr>
        <w:spacing w:after="0" w:line="240" w:lineRule="auto"/>
      </w:pPr>
      <w:r>
        <w:continuationSeparator/>
      </w:r>
    </w:p>
    <w:p w:rsidR="004A4142" w:rsidRDefault="004A4142"/>
  </w:endnote>
  <w:endnote w:id="1">
    <w:p w:rsidR="000D705F" w:rsidRPr="00603A27" w:rsidRDefault="000D705F" w:rsidP="000D705F">
      <w:pPr>
        <w:pStyle w:val="FootnoteText"/>
        <w:spacing w:line="276" w:lineRule="auto"/>
        <w:rPr>
          <w:sz w:val="16"/>
          <w:szCs w:val="16"/>
        </w:rPr>
      </w:pPr>
      <w:r w:rsidRPr="00603A27">
        <w:rPr>
          <w:rStyle w:val="EndnoteReference"/>
          <w:sz w:val="16"/>
          <w:szCs w:val="16"/>
        </w:rPr>
        <w:endnoteRef/>
      </w:r>
      <w:r w:rsidRPr="00603A27">
        <w:rPr>
          <w:sz w:val="16"/>
          <w:szCs w:val="16"/>
        </w:rPr>
        <w:t xml:space="preserve"> Primary sector and utilities includes the following industries: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63"/>
      </w:tblGrid>
      <w:tr w:rsidR="000D705F" w:rsidRPr="00603A27" w:rsidTr="005B3E73">
        <w:trPr>
          <w:trHeight w:val="304"/>
        </w:trPr>
        <w:tc>
          <w:tcPr>
            <w:tcW w:w="8963" w:type="dxa"/>
          </w:tcPr>
          <w:p w:rsidR="000D705F" w:rsidRPr="00603A27" w:rsidRDefault="000D705F" w:rsidP="000D705F">
            <w:pPr>
              <w:pStyle w:val="ListParagraph"/>
              <w:numPr>
                <w:ilvl w:val="0"/>
                <w:numId w:val="14"/>
              </w:numPr>
              <w:autoSpaceDE w:val="0"/>
              <w:autoSpaceDN w:val="0"/>
              <w:adjustRightInd w:val="0"/>
              <w:spacing w:after="0"/>
              <w:rPr>
                <w:rFonts w:eastAsiaTheme="minorEastAsia" w:cs="Arial"/>
                <w:color w:val="000000"/>
                <w:sz w:val="16"/>
                <w:szCs w:val="16"/>
              </w:rPr>
            </w:pPr>
            <w:r w:rsidRPr="00603A27">
              <w:rPr>
                <w:rFonts w:eastAsiaTheme="minorEastAsia" w:cs="Arial"/>
                <w:color w:val="000000"/>
                <w:sz w:val="16"/>
                <w:szCs w:val="16"/>
              </w:rPr>
              <w:t xml:space="preserve">A - Agriculture, forestry and fishing (01-03) - Including farming, hunting and other related service activities, forestry and logging, fishing and aquaculture </w:t>
            </w:r>
          </w:p>
          <w:p w:rsidR="000D705F" w:rsidRPr="00603A27" w:rsidRDefault="000D705F" w:rsidP="000D705F">
            <w:pPr>
              <w:pStyle w:val="ListParagraph"/>
              <w:numPr>
                <w:ilvl w:val="0"/>
                <w:numId w:val="14"/>
              </w:numPr>
              <w:autoSpaceDE w:val="0"/>
              <w:autoSpaceDN w:val="0"/>
              <w:adjustRightInd w:val="0"/>
              <w:spacing w:after="0"/>
              <w:rPr>
                <w:rFonts w:eastAsiaTheme="minorEastAsia" w:cs="Arial"/>
                <w:color w:val="000000"/>
                <w:sz w:val="16"/>
                <w:szCs w:val="16"/>
              </w:rPr>
            </w:pPr>
            <w:r w:rsidRPr="00603A27">
              <w:rPr>
                <w:rFonts w:eastAsiaTheme="minorEastAsia" w:cs="Arial"/>
                <w:color w:val="000000"/>
                <w:sz w:val="16"/>
                <w:szCs w:val="16"/>
              </w:rPr>
              <w:t>B - Mining and quarrying (05-09) - Including mining of coal, metals, sand</w:t>
            </w:r>
            <w:r w:rsidR="00977E37">
              <w:rPr>
                <w:rFonts w:eastAsiaTheme="minorEastAsia" w:cs="Arial"/>
                <w:color w:val="000000"/>
                <w:sz w:val="16"/>
                <w:szCs w:val="16"/>
              </w:rPr>
              <w:t xml:space="preserve"> </w:t>
            </w:r>
            <w:r w:rsidRPr="00603A27">
              <w:rPr>
                <w:rFonts w:eastAsiaTheme="minorEastAsia" w:cs="Arial"/>
                <w:color w:val="000000"/>
                <w:sz w:val="16"/>
                <w:szCs w:val="16"/>
              </w:rPr>
              <w:t>/</w:t>
            </w:r>
            <w:r w:rsidR="00977E37">
              <w:rPr>
                <w:rFonts w:eastAsiaTheme="minorEastAsia" w:cs="Arial"/>
                <w:color w:val="000000"/>
                <w:sz w:val="16"/>
                <w:szCs w:val="16"/>
              </w:rPr>
              <w:t xml:space="preserve"> </w:t>
            </w:r>
            <w:r w:rsidRPr="00603A27">
              <w:rPr>
                <w:rFonts w:eastAsiaTheme="minorEastAsia" w:cs="Arial"/>
                <w:color w:val="000000"/>
                <w:sz w:val="16"/>
                <w:szCs w:val="16"/>
              </w:rPr>
              <w:t>stone</w:t>
            </w:r>
            <w:r w:rsidR="00977E37">
              <w:rPr>
                <w:rFonts w:eastAsiaTheme="minorEastAsia" w:cs="Arial"/>
                <w:color w:val="000000"/>
                <w:sz w:val="16"/>
                <w:szCs w:val="16"/>
              </w:rPr>
              <w:t xml:space="preserve"> </w:t>
            </w:r>
            <w:r w:rsidRPr="00603A27">
              <w:rPr>
                <w:rFonts w:eastAsiaTheme="minorEastAsia" w:cs="Arial"/>
                <w:color w:val="000000"/>
                <w:sz w:val="16"/>
                <w:szCs w:val="16"/>
              </w:rPr>
              <w:t>/</w:t>
            </w:r>
            <w:r w:rsidR="00977E37">
              <w:rPr>
                <w:rFonts w:eastAsiaTheme="minorEastAsia" w:cs="Arial"/>
                <w:color w:val="000000"/>
                <w:sz w:val="16"/>
                <w:szCs w:val="16"/>
              </w:rPr>
              <w:t xml:space="preserve"> </w:t>
            </w:r>
            <w:r w:rsidRPr="00603A27">
              <w:rPr>
                <w:rFonts w:eastAsiaTheme="minorEastAsia" w:cs="Arial"/>
                <w:color w:val="000000"/>
                <w:sz w:val="16"/>
                <w:szCs w:val="16"/>
              </w:rPr>
              <w:t xml:space="preserve">clay, and extraction of crude petroleum and natural gas </w:t>
            </w:r>
          </w:p>
          <w:p w:rsidR="000D705F" w:rsidRPr="00603A27" w:rsidRDefault="000D705F" w:rsidP="000D705F">
            <w:pPr>
              <w:pStyle w:val="ListParagraph"/>
              <w:numPr>
                <w:ilvl w:val="0"/>
                <w:numId w:val="14"/>
              </w:numPr>
              <w:autoSpaceDE w:val="0"/>
              <w:autoSpaceDN w:val="0"/>
              <w:adjustRightInd w:val="0"/>
              <w:spacing w:after="0"/>
              <w:rPr>
                <w:rFonts w:eastAsiaTheme="minorEastAsia" w:cs="Arial"/>
                <w:color w:val="000000"/>
                <w:sz w:val="16"/>
                <w:szCs w:val="16"/>
              </w:rPr>
            </w:pPr>
            <w:r w:rsidRPr="00603A27">
              <w:rPr>
                <w:rFonts w:eastAsiaTheme="minorEastAsia" w:cs="Arial"/>
                <w:color w:val="000000"/>
                <w:sz w:val="16"/>
                <w:szCs w:val="16"/>
              </w:rPr>
              <w:t xml:space="preserve">D - Electricity, gas, steam and air conditioning supply (35) </w:t>
            </w:r>
          </w:p>
          <w:p w:rsidR="000D705F" w:rsidRPr="00603A27" w:rsidRDefault="000D705F" w:rsidP="000D705F">
            <w:pPr>
              <w:pStyle w:val="ListParagraph"/>
              <w:numPr>
                <w:ilvl w:val="0"/>
                <w:numId w:val="14"/>
              </w:numPr>
              <w:autoSpaceDE w:val="0"/>
              <w:autoSpaceDN w:val="0"/>
              <w:adjustRightInd w:val="0"/>
              <w:spacing w:after="0"/>
              <w:rPr>
                <w:rFonts w:eastAsiaTheme="minorEastAsia" w:cs="Arial"/>
                <w:color w:val="000000"/>
                <w:sz w:val="16"/>
                <w:szCs w:val="16"/>
              </w:rPr>
            </w:pPr>
            <w:r w:rsidRPr="00603A27">
              <w:rPr>
                <w:rFonts w:eastAsiaTheme="minorEastAsia" w:cs="Arial"/>
                <w:color w:val="000000"/>
                <w:sz w:val="16"/>
                <w:szCs w:val="16"/>
              </w:rPr>
              <w:t xml:space="preserve">E - Water supply, sewerage, waste management and remediation activities (36-39) - Including electric power generation, transmission and distribution, manufacture of gas and distribution of gaseous fuels, steam and air conditioning supply, water collection, treatment and supply, sewerage and waste collection </w:t>
            </w:r>
          </w:p>
        </w:tc>
      </w:tr>
    </w:tbl>
    <w:p w:rsidR="000D705F" w:rsidRDefault="000D705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36" w:rsidRDefault="00340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1" w:rsidRDefault="00F560A1" w:rsidP="00561EEC">
    <w:pPr>
      <w:pStyle w:val="Footer"/>
    </w:pPr>
  </w:p>
  <w:p w:rsidR="00F560A1" w:rsidRPr="00BA4675" w:rsidRDefault="00F560A1" w:rsidP="00BA4675">
    <w:pPr>
      <w:pStyle w:val="Footer"/>
      <w:rPr>
        <w:rFonts w:ascii="Trebuchet MS" w:hAnsi="Trebuchet MS"/>
        <w:sz w:val="20"/>
      </w:rPr>
    </w:pPr>
    <w:r w:rsidRPr="00991A06">
      <w:t xml:space="preserve">© </w:t>
    </w:r>
    <w:r w:rsidR="00340436">
      <w:fldChar w:fldCharType="begin"/>
    </w:r>
    <w:r w:rsidR="00340436">
      <w:instrText xml:space="preserve"> DATE  \@ "yyyy" </w:instrText>
    </w:r>
    <w:r w:rsidR="00340436">
      <w:fldChar w:fldCharType="separate"/>
    </w:r>
    <w:r w:rsidR="005B3E73">
      <w:rPr>
        <w:noProof/>
      </w:rPr>
      <w:t>2018</w:t>
    </w:r>
    <w:r w:rsidR="00340436">
      <w:fldChar w:fldCharType="end"/>
    </w:r>
    <w:r w:rsidR="00340436" w:rsidRPr="00991A06">
      <w:t xml:space="preserve"> </w:t>
    </w:r>
    <w:r w:rsidRPr="00991A06">
      <w:t xml:space="preserve">Energy </w:t>
    </w:r>
    <w:r w:rsidR="00CC7B8F">
      <w:t>&amp;</w:t>
    </w:r>
    <w:r w:rsidRPr="00991A06">
      <w:t xml:space="preserve"> Utility Skills Group</w:t>
    </w:r>
    <w:r>
      <w:tab/>
    </w:r>
    <w:r>
      <w:tab/>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5B3E73">
          <w:rPr>
            <w:noProof/>
          </w:rPr>
          <w:t>1</w:t>
        </w:r>
        <w:r w:rsidRPr="00991A06">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25" w:rsidRPr="003F0D25" w:rsidRDefault="003F0D25">
    <w:pPr>
      <w:pStyle w:val="Footer"/>
      <w:rPr>
        <w:rFonts w:ascii="Trebuchet MS" w:hAnsi="Trebuchet MS"/>
        <w:sz w:val="20"/>
      </w:rPr>
    </w:pPr>
    <w:r w:rsidRPr="00991A06">
      <w:t xml:space="preserve">© 2017 Energy </w:t>
    </w:r>
    <w:r w:rsidR="00CC7B8F">
      <w:t>&amp;</w:t>
    </w:r>
    <w:r w:rsidRPr="00991A06">
      <w:t xml:space="preserve"> Utility Skills Group</w:t>
    </w:r>
    <w:r>
      <w:tab/>
    </w:r>
    <w:r>
      <w:tab/>
    </w:r>
    <w:r w:rsidRPr="00991A06">
      <w:t xml:space="preserve">Page </w:t>
    </w:r>
    <w:sdt>
      <w:sdtPr>
        <w:id w:val="1748144939"/>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9053E">
          <w:rPr>
            <w:noProof/>
          </w:rPr>
          <w:t>1</w:t>
        </w:r>
        <w:r w:rsidRPr="00991A06">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42" w:rsidRDefault="004A4142" w:rsidP="004301EF">
      <w:pPr>
        <w:spacing w:after="0" w:line="240" w:lineRule="auto"/>
      </w:pPr>
      <w:r>
        <w:separator/>
      </w:r>
    </w:p>
    <w:p w:rsidR="004A4142" w:rsidRDefault="004A4142"/>
  </w:footnote>
  <w:footnote w:type="continuationSeparator" w:id="0">
    <w:p w:rsidR="004A4142" w:rsidRDefault="004A4142" w:rsidP="004301EF">
      <w:pPr>
        <w:spacing w:after="0" w:line="240" w:lineRule="auto"/>
      </w:pPr>
      <w:r>
        <w:continuationSeparator/>
      </w:r>
    </w:p>
    <w:p w:rsidR="004A4142" w:rsidRDefault="004A41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36" w:rsidRDefault="00340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1" w:rsidRDefault="001B46F8" w:rsidP="00EC0660">
    <w:pPr>
      <w:pStyle w:val="Header"/>
      <w:jc w:val="right"/>
    </w:pPr>
    <w:r>
      <w:rPr>
        <w:noProof/>
        <w:lang w:eastAsia="en-GB"/>
      </w:rPr>
      <w:drawing>
        <wp:inline distT="0" distB="0" distL="0" distR="0" wp14:anchorId="0442D411" wp14:editId="12CE34F8">
          <wp:extent cx="2472583" cy="545622"/>
          <wp:effectExtent l="0" t="0" r="0" b="0"/>
          <wp:docPr id="3" name="Picture 3"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58240" behindDoc="1" locked="0" layoutInCell="1" allowOverlap="1" wp14:anchorId="0BD2C8B1" wp14:editId="3069E36D">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F560A1" w:rsidRDefault="00F560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1" w:rsidRDefault="001B46F8" w:rsidP="00EC0660">
    <w:pPr>
      <w:pStyle w:val="Header"/>
      <w:jc w:val="right"/>
    </w:pPr>
    <w:r>
      <w:rPr>
        <w:noProof/>
        <w:lang w:eastAsia="en-GB"/>
      </w:rPr>
      <w:drawing>
        <wp:inline distT="0" distB="0" distL="0" distR="0" wp14:anchorId="69469E1E" wp14:editId="552CD6B7">
          <wp:extent cx="2472583" cy="545622"/>
          <wp:effectExtent l="0" t="0" r="0" b="0"/>
          <wp:docPr id="4" name="Picture 4"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63360" behindDoc="1" locked="0" layoutInCell="1" allowOverlap="1" wp14:anchorId="343600F3" wp14:editId="16CF3549">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80270"/>
    <w:lvl w:ilvl="0">
      <w:start w:val="1"/>
      <w:numFmt w:val="decimal"/>
      <w:lvlText w:val="%1."/>
      <w:lvlJc w:val="left"/>
      <w:pPr>
        <w:tabs>
          <w:tab w:val="num" w:pos="1492"/>
        </w:tabs>
        <w:ind w:left="1492" w:hanging="360"/>
      </w:pPr>
    </w:lvl>
  </w:abstractNum>
  <w:abstractNum w:abstractNumId="2">
    <w:nsid w:val="FFFFFF7D"/>
    <w:multiLevelType w:val="singleLevel"/>
    <w:tmpl w:val="DBE0D022"/>
    <w:lvl w:ilvl="0">
      <w:start w:val="1"/>
      <w:numFmt w:val="decimal"/>
      <w:lvlText w:val="%1."/>
      <w:lvlJc w:val="left"/>
      <w:pPr>
        <w:tabs>
          <w:tab w:val="num" w:pos="1209"/>
        </w:tabs>
        <w:ind w:left="1209" w:hanging="360"/>
      </w:pPr>
    </w:lvl>
  </w:abstractNum>
  <w:abstractNum w:abstractNumId="3">
    <w:nsid w:val="FFFFFF7E"/>
    <w:multiLevelType w:val="singleLevel"/>
    <w:tmpl w:val="80B8AAB8"/>
    <w:lvl w:ilvl="0">
      <w:start w:val="1"/>
      <w:numFmt w:val="decimal"/>
      <w:lvlText w:val="%1."/>
      <w:lvlJc w:val="left"/>
      <w:pPr>
        <w:tabs>
          <w:tab w:val="num" w:pos="926"/>
        </w:tabs>
        <w:ind w:left="926" w:hanging="360"/>
      </w:pPr>
    </w:lvl>
  </w:abstractNum>
  <w:abstractNum w:abstractNumId="4">
    <w:nsid w:val="FFFFFF7F"/>
    <w:multiLevelType w:val="singleLevel"/>
    <w:tmpl w:val="B2BA1ED6"/>
    <w:lvl w:ilvl="0">
      <w:start w:val="1"/>
      <w:numFmt w:val="decimal"/>
      <w:lvlText w:val="%1."/>
      <w:lvlJc w:val="left"/>
      <w:pPr>
        <w:tabs>
          <w:tab w:val="num" w:pos="643"/>
        </w:tabs>
        <w:ind w:left="643" w:hanging="360"/>
      </w:pPr>
    </w:lvl>
  </w:abstractNum>
  <w:abstractNum w:abstractNumId="5">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9A2BC0"/>
    <w:lvl w:ilvl="0">
      <w:start w:val="1"/>
      <w:numFmt w:val="decimal"/>
      <w:lvlText w:val="%1."/>
      <w:lvlJc w:val="left"/>
      <w:pPr>
        <w:tabs>
          <w:tab w:val="num" w:pos="360"/>
        </w:tabs>
        <w:ind w:left="360" w:hanging="360"/>
      </w:pPr>
    </w:lvl>
  </w:abstractNum>
  <w:abstractNum w:abstractNumId="1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nsid w:val="00555C59"/>
    <w:multiLevelType w:val="hybridMultilevel"/>
    <w:tmpl w:val="1BAE3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7E337DA"/>
    <w:multiLevelType w:val="hybridMultilevel"/>
    <w:tmpl w:val="CAC6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3B5224"/>
    <w:multiLevelType w:val="hybridMultilevel"/>
    <w:tmpl w:val="E7D8FEB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nsid w:val="268A2FC7"/>
    <w:multiLevelType w:val="hybridMultilevel"/>
    <w:tmpl w:val="2BB0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C6D35C4"/>
    <w:multiLevelType w:val="hybridMultilevel"/>
    <w:tmpl w:val="97B4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9D"/>
    <w:rsid w:val="00021AE8"/>
    <w:rsid w:val="00050D2E"/>
    <w:rsid w:val="00063C11"/>
    <w:rsid w:val="0006405B"/>
    <w:rsid w:val="00075612"/>
    <w:rsid w:val="000A1C82"/>
    <w:rsid w:val="000A3BB4"/>
    <w:rsid w:val="000B220A"/>
    <w:rsid w:val="000D705F"/>
    <w:rsid w:val="000E36DE"/>
    <w:rsid w:val="000E494C"/>
    <w:rsid w:val="000F0066"/>
    <w:rsid w:val="0013063D"/>
    <w:rsid w:val="00130F92"/>
    <w:rsid w:val="0013458C"/>
    <w:rsid w:val="00176B71"/>
    <w:rsid w:val="001B46F8"/>
    <w:rsid w:val="001C4DBC"/>
    <w:rsid w:val="001C615C"/>
    <w:rsid w:val="001D7476"/>
    <w:rsid w:val="0020650C"/>
    <w:rsid w:val="00220907"/>
    <w:rsid w:val="00224AED"/>
    <w:rsid w:val="00290384"/>
    <w:rsid w:val="002C252A"/>
    <w:rsid w:val="002C45FF"/>
    <w:rsid w:val="002D44D5"/>
    <w:rsid w:val="00340436"/>
    <w:rsid w:val="00370A2D"/>
    <w:rsid w:val="003E00B4"/>
    <w:rsid w:val="003F0D25"/>
    <w:rsid w:val="0040182F"/>
    <w:rsid w:val="00402D80"/>
    <w:rsid w:val="00406516"/>
    <w:rsid w:val="004301EF"/>
    <w:rsid w:val="00462033"/>
    <w:rsid w:val="0046217E"/>
    <w:rsid w:val="00462C5F"/>
    <w:rsid w:val="0048537A"/>
    <w:rsid w:val="004A2F7A"/>
    <w:rsid w:val="004A4142"/>
    <w:rsid w:val="004D312E"/>
    <w:rsid w:val="00507242"/>
    <w:rsid w:val="00525C54"/>
    <w:rsid w:val="00561EEC"/>
    <w:rsid w:val="0059241B"/>
    <w:rsid w:val="005B1A2D"/>
    <w:rsid w:val="005B3E73"/>
    <w:rsid w:val="005E797B"/>
    <w:rsid w:val="00603A27"/>
    <w:rsid w:val="00615567"/>
    <w:rsid w:val="006211F8"/>
    <w:rsid w:val="00626AF5"/>
    <w:rsid w:val="00630033"/>
    <w:rsid w:val="00675BB0"/>
    <w:rsid w:val="00691977"/>
    <w:rsid w:val="00691D7A"/>
    <w:rsid w:val="006C6DC2"/>
    <w:rsid w:val="006F064A"/>
    <w:rsid w:val="006F24E7"/>
    <w:rsid w:val="006F5192"/>
    <w:rsid w:val="00700D67"/>
    <w:rsid w:val="007148C6"/>
    <w:rsid w:val="00725C97"/>
    <w:rsid w:val="007328B3"/>
    <w:rsid w:val="00740264"/>
    <w:rsid w:val="00755A61"/>
    <w:rsid w:val="007746F4"/>
    <w:rsid w:val="007B1108"/>
    <w:rsid w:val="007C6A55"/>
    <w:rsid w:val="007D41C5"/>
    <w:rsid w:val="007E18B0"/>
    <w:rsid w:val="00801387"/>
    <w:rsid w:val="00892249"/>
    <w:rsid w:val="0094000B"/>
    <w:rsid w:val="00956C73"/>
    <w:rsid w:val="0097428B"/>
    <w:rsid w:val="00977E37"/>
    <w:rsid w:val="009B64C8"/>
    <w:rsid w:val="00A1747B"/>
    <w:rsid w:val="00A235EA"/>
    <w:rsid w:val="00AA2A6F"/>
    <w:rsid w:val="00AD5DAA"/>
    <w:rsid w:val="00B13E08"/>
    <w:rsid w:val="00B25996"/>
    <w:rsid w:val="00B4742D"/>
    <w:rsid w:val="00B64FA2"/>
    <w:rsid w:val="00B66AB7"/>
    <w:rsid w:val="00B945E7"/>
    <w:rsid w:val="00BA4675"/>
    <w:rsid w:val="00BB469C"/>
    <w:rsid w:val="00BB6DFA"/>
    <w:rsid w:val="00BC0E28"/>
    <w:rsid w:val="00C026B7"/>
    <w:rsid w:val="00C9053E"/>
    <w:rsid w:val="00CC1687"/>
    <w:rsid w:val="00CC4202"/>
    <w:rsid w:val="00CC7B8F"/>
    <w:rsid w:val="00CF0241"/>
    <w:rsid w:val="00D111D2"/>
    <w:rsid w:val="00D22934"/>
    <w:rsid w:val="00D234C5"/>
    <w:rsid w:val="00D30F94"/>
    <w:rsid w:val="00D352AD"/>
    <w:rsid w:val="00D6284E"/>
    <w:rsid w:val="00D63A89"/>
    <w:rsid w:val="00D77309"/>
    <w:rsid w:val="00DD52CD"/>
    <w:rsid w:val="00E65381"/>
    <w:rsid w:val="00E9281E"/>
    <w:rsid w:val="00EC0660"/>
    <w:rsid w:val="00ED7357"/>
    <w:rsid w:val="00F10E9D"/>
    <w:rsid w:val="00F33A8D"/>
    <w:rsid w:val="00F55557"/>
    <w:rsid w:val="00F560A1"/>
    <w:rsid w:val="00F575A0"/>
    <w:rsid w:val="00F86D85"/>
    <w:rsid w:val="00F90DD7"/>
    <w:rsid w:val="00FA7DD9"/>
    <w:rsid w:val="00FE5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6701C25A-58A8-4049-B098-7B26A2C5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B8F"/>
    <w:pPr>
      <w:spacing w:after="200" w:line="276" w:lineRule="auto"/>
    </w:pPr>
    <w:rPr>
      <w:rFonts w:ascii="Arial" w:eastAsia="Calibri" w:hAnsi="Arial" w:cs="Times New Roman"/>
      <w:sz w:val="22"/>
      <w:szCs w:val="22"/>
      <w:lang w:val="en-GB"/>
    </w:rPr>
  </w:style>
  <w:style w:type="paragraph" w:styleId="Heading1">
    <w:name w:val="heading 1"/>
    <w:aliases w:val="Main Title"/>
    <w:basedOn w:val="Normal"/>
    <w:next w:val="Normal"/>
    <w:link w:val="Heading1Char"/>
    <w:uiPriority w:val="9"/>
    <w:qFormat/>
    <w:rsid w:val="00EC0660"/>
    <w:pPr>
      <w:spacing w:before="220" w:after="0" w:line="288" w:lineRule="auto"/>
      <w:outlineLvl w:val="0"/>
    </w:pPr>
    <w:rPr>
      <w:rFonts w:cs="Arial"/>
      <w:b/>
      <w:color w:val="280071"/>
      <w:sz w:val="48"/>
      <w:szCs w:val="48"/>
    </w:rPr>
  </w:style>
  <w:style w:type="paragraph" w:styleId="Heading2">
    <w:name w:val="heading 2"/>
    <w:aliases w:val="Sub-title"/>
    <w:basedOn w:val="Normal"/>
    <w:next w:val="Normal"/>
    <w:link w:val="Heading2Char"/>
    <w:autoRedefine/>
    <w:uiPriority w:val="9"/>
    <w:unhideWhenUsed/>
    <w:qFormat/>
    <w:rsid w:val="00EC0660"/>
    <w:pPr>
      <w:spacing w:after="0" w:line="288" w:lineRule="auto"/>
      <w:outlineLvl w:val="1"/>
    </w:pPr>
    <w:rPr>
      <w:rFonts w:cs="Arial"/>
      <w:color w:val="280071"/>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EC0660"/>
    <w:pPr>
      <w:keepNext/>
      <w:keepLines/>
      <w:spacing w:after="0" w:line="288" w:lineRule="auto"/>
      <w:outlineLvl w:val="3"/>
    </w:pPr>
    <w:rPr>
      <w:rFonts w:eastAsiaTheme="majorEastAsia" w:cstheme="majorBidi"/>
      <w:bCs/>
      <w:iCs/>
      <w:color w:val="28007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EC0660"/>
    <w:rPr>
      <w:rFonts w:ascii="Arial" w:eastAsia="Calibri" w:hAnsi="Arial" w:cs="Arial"/>
      <w:b/>
      <w:color w:val="280071"/>
      <w:sz w:val="48"/>
      <w:szCs w:val="48"/>
      <w:lang w:val="en-GB"/>
    </w:rPr>
  </w:style>
  <w:style w:type="character" w:customStyle="1" w:styleId="Heading2Char">
    <w:name w:val="Heading 2 Char"/>
    <w:aliases w:val="Sub-title Char"/>
    <w:basedOn w:val="DefaultParagraphFont"/>
    <w:link w:val="Heading2"/>
    <w:uiPriority w:val="9"/>
    <w:rsid w:val="00EC0660"/>
    <w:rPr>
      <w:rFonts w:ascii="Arial" w:eastAsia="Calibri" w:hAnsi="Arial" w:cs="Arial"/>
      <w:color w:val="280071"/>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D30F94"/>
    <w:pPr>
      <w:spacing w:after="0" w:line="288" w:lineRule="auto"/>
    </w:pPr>
    <w:rPr>
      <w:rFonts w:cs="Arial"/>
      <w:color w:val="000000" w:themeColor="text1"/>
      <w:szCs w:val="20"/>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lang w:val="en-US" w:eastAsia="en-GB"/>
    </w:rPr>
  </w:style>
  <w:style w:type="paragraph" w:customStyle="1" w:styleId="BodyCopyParagraphHighlightIntro">
    <w:name w:val="Body Copy Paragraph Highlight Intro"/>
    <w:basedOn w:val="BodyCopy"/>
    <w:qFormat/>
    <w:rsid w:val="00BA4675"/>
    <w:rPr>
      <w:b/>
      <w:bCs/>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EC0660"/>
    <w:pPr>
      <w:tabs>
        <w:tab w:val="center" w:pos="4320"/>
        <w:tab w:val="right" w:pos="8640"/>
      </w:tabs>
      <w:spacing w:after="0" w:line="240" w:lineRule="auto"/>
    </w:pPr>
    <w:rPr>
      <w:color w:val="280071"/>
      <w:sz w:val="18"/>
    </w:rPr>
  </w:style>
  <w:style w:type="character" w:customStyle="1" w:styleId="FooterChar">
    <w:name w:val="Footer Char"/>
    <w:basedOn w:val="DefaultParagraphFont"/>
    <w:link w:val="Footer"/>
    <w:uiPriority w:val="99"/>
    <w:rsid w:val="00EC0660"/>
    <w:rPr>
      <w:rFonts w:ascii="Arial" w:eastAsia="Calibri" w:hAnsi="Arial" w:cs="Times New Roman"/>
      <w:color w:val="280071"/>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EC0660"/>
    <w:pPr>
      <w:spacing w:before="1000" w:after="80" w:line="480" w:lineRule="exact"/>
      <w:contextualSpacing/>
    </w:pPr>
    <w:rPr>
      <w:rFonts w:cs="Arial"/>
      <w:b/>
      <w:color w:val="280071"/>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EC0660"/>
    <w:rPr>
      <w:rFonts w:ascii="Arial" w:eastAsiaTheme="majorEastAsia" w:hAnsi="Arial" w:cstheme="majorBidi"/>
      <w:bCs/>
      <w:iCs/>
      <w:color w:val="280071"/>
      <w:szCs w:val="22"/>
      <w:lang w:val="en-GB"/>
    </w:rPr>
  </w:style>
  <w:style w:type="table" w:styleId="TableGrid">
    <w:name w:val="Table Grid"/>
    <w:basedOn w:val="TableNormal"/>
    <w:uiPriority w:val="99"/>
    <w:rsid w:val="00220907"/>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907"/>
    <w:pPr>
      <w:autoSpaceDE w:val="0"/>
      <w:autoSpaceDN w:val="0"/>
      <w:adjustRightInd w:val="0"/>
    </w:pPr>
    <w:rPr>
      <w:rFonts w:ascii="Trebuchet MS" w:eastAsiaTheme="minorHAnsi" w:hAnsi="Trebuchet MS" w:cs="Trebuchet MS"/>
      <w:color w:val="000000"/>
      <w:lang w:val="en-GB"/>
    </w:rPr>
  </w:style>
  <w:style w:type="table" w:styleId="GridTable4-Accent4">
    <w:name w:val="Grid Table 4 Accent 4"/>
    <w:basedOn w:val="TableNormal"/>
    <w:uiPriority w:val="49"/>
    <w:rsid w:val="004018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FootnoteText">
    <w:name w:val="footnote text"/>
    <w:basedOn w:val="Normal"/>
    <w:link w:val="FootnoteTextChar"/>
    <w:uiPriority w:val="99"/>
    <w:semiHidden/>
    <w:unhideWhenUsed/>
    <w:rsid w:val="00401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82F"/>
    <w:rPr>
      <w:rFonts w:ascii="Arial" w:eastAsia="Calibri" w:hAnsi="Arial" w:cs="Times New Roman"/>
      <w:sz w:val="20"/>
      <w:szCs w:val="20"/>
      <w:lang w:val="en-GB"/>
    </w:rPr>
  </w:style>
  <w:style w:type="character" w:styleId="FootnoteReference">
    <w:name w:val="footnote reference"/>
    <w:basedOn w:val="DefaultParagraphFont"/>
    <w:uiPriority w:val="99"/>
    <w:semiHidden/>
    <w:unhideWhenUsed/>
    <w:rsid w:val="0040182F"/>
    <w:rPr>
      <w:vertAlign w:val="superscript"/>
    </w:rPr>
  </w:style>
  <w:style w:type="paragraph" w:styleId="ListParagraph">
    <w:name w:val="List Paragraph"/>
    <w:basedOn w:val="Normal"/>
    <w:uiPriority w:val="34"/>
    <w:qFormat/>
    <w:rsid w:val="0040182F"/>
    <w:pPr>
      <w:ind w:left="720"/>
      <w:contextualSpacing/>
    </w:pPr>
  </w:style>
  <w:style w:type="paragraph" w:styleId="EndnoteText">
    <w:name w:val="endnote text"/>
    <w:basedOn w:val="Normal"/>
    <w:link w:val="EndnoteTextChar"/>
    <w:uiPriority w:val="99"/>
    <w:semiHidden/>
    <w:unhideWhenUsed/>
    <w:rsid w:val="000D7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05F"/>
    <w:rPr>
      <w:rFonts w:ascii="Arial" w:eastAsia="Calibri" w:hAnsi="Arial" w:cs="Times New Roman"/>
      <w:sz w:val="20"/>
      <w:szCs w:val="20"/>
      <w:lang w:val="en-GB"/>
    </w:rPr>
  </w:style>
  <w:style w:type="character" w:styleId="EndnoteReference">
    <w:name w:val="endnote reference"/>
    <w:basedOn w:val="DefaultParagraphFont"/>
    <w:uiPriority w:val="99"/>
    <w:semiHidden/>
    <w:unhideWhenUsed/>
    <w:rsid w:val="000D7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ployment\Templates\Energy%20&amp;%20Utility%20Skills%20Word%20Templates\EU%20Skills%20-%20General%20word%20doc%20lay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D8B3-F2F8-424D-B37A-BA2D6D93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Skills - General word doc layout template</Template>
  <TotalTime>0</TotalTime>
  <Pages>5</Pages>
  <Words>1366</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Haywood</dc:creator>
  <cp:keywords/>
  <dc:description/>
  <cp:lastModifiedBy>Victoria Elkington</cp:lastModifiedBy>
  <cp:revision>2</cp:revision>
  <cp:lastPrinted>2018-08-29T15:59:00Z</cp:lastPrinted>
  <dcterms:created xsi:type="dcterms:W3CDTF">2018-08-30T11:25:00Z</dcterms:created>
  <dcterms:modified xsi:type="dcterms:W3CDTF">2018-08-30T11:25:00Z</dcterms:modified>
</cp:coreProperties>
</file>